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B062D8">
      <w:pPr>
        <w:widowControl/>
        <w:shd w:val="clear" w:color="auto" w:fill="FFFFFF"/>
        <w:wordWrap w:val="0"/>
        <w:spacing w:after="240" w:line="600" w:lineRule="auto"/>
        <w:jc w:val="center"/>
        <w:rPr>
          <w:rFonts w:ascii="黑体" w:hAnsi="黑体" w:eastAsia="黑体" w:cs="黑体"/>
          <w:b/>
          <w:color w:val="000000" w:themeColor="text1"/>
          <w:kern w:val="0"/>
          <w:sz w:val="44"/>
          <w:szCs w:val="44"/>
          <w:shd w:val="clear" w:color="auto" w:fill="FFFFFF"/>
          <w14:textFill>
            <w14:solidFill>
              <w14:schemeClr w14:val="tx1"/>
            </w14:solidFill>
          </w14:textFill>
        </w:rPr>
      </w:pPr>
      <w:bookmarkStart w:id="0" w:name="OLE_LINK14"/>
      <w:bookmarkStart w:id="1" w:name="OLE_LINK11"/>
      <w:r>
        <w:rPr>
          <w:rFonts w:ascii="黑体" w:hAnsi="黑体" w:eastAsia="黑体" w:cs="黑体"/>
          <w:b/>
          <w:color w:val="000000" w:themeColor="text1"/>
          <w:kern w:val="0"/>
          <w:sz w:val="44"/>
          <w:szCs w:val="44"/>
          <w:shd w:val="clear" w:color="auto" w:fill="FFFFFF"/>
          <w14:textFill>
            <w14:solidFill>
              <w14:schemeClr w14:val="tx1"/>
            </w14:solidFill>
          </w14:textFill>
        </w:rPr>
        <w:t xml:space="preserve"> </w:t>
      </w:r>
    </w:p>
    <w:p w14:paraId="1DA0A120">
      <w:pPr>
        <w:pStyle w:val="20"/>
        <w:widowControl/>
        <w:numPr>
          <w:ilvl w:val="0"/>
          <w:numId w:val="1"/>
        </w:numPr>
        <w:shd w:val="clear" w:color="auto" w:fill="FFFFFF"/>
        <w:wordWrap w:val="0"/>
        <w:spacing w:after="240" w:line="600" w:lineRule="auto"/>
        <w:ind w:firstLineChars="0"/>
        <w:jc w:val="center"/>
        <w:rPr>
          <w:rFonts w:ascii="黑体" w:hAnsi="黑体" w:eastAsia="黑体" w:cs="黑体"/>
          <w:b/>
          <w:color w:val="000000" w:themeColor="text1"/>
          <w:kern w:val="0"/>
          <w:sz w:val="44"/>
          <w:szCs w:val="44"/>
          <w:shd w:val="clear" w:color="auto" w:fill="FFFFFF"/>
          <w14:textFill>
            <w14:solidFill>
              <w14:schemeClr w14:val="tx1"/>
            </w14:solidFill>
          </w14:textFill>
        </w:rPr>
      </w:pPr>
      <w:r>
        <w:rPr>
          <w:rFonts w:hint="eastAsia" w:ascii="黑体" w:hAnsi="黑体" w:eastAsia="黑体" w:cs="黑体"/>
          <w:b/>
          <w:color w:val="000000" w:themeColor="text1"/>
          <w:kern w:val="0"/>
          <w:sz w:val="44"/>
          <w:szCs w:val="44"/>
          <w:shd w:val="clear" w:color="auto" w:fill="FFFFFF"/>
          <w:lang w:val="en-US" w:eastAsia="zh-CN"/>
          <w14:textFill>
            <w14:solidFill>
              <w14:schemeClr w14:val="tx1"/>
            </w14:solidFill>
          </w14:textFill>
        </w:rPr>
        <w:t>2025</w:t>
      </w:r>
      <w:r>
        <w:rPr>
          <w:rFonts w:hint="eastAsia" w:ascii="黑体" w:hAnsi="黑体" w:eastAsia="黑体" w:cs="黑体"/>
          <w:b/>
          <w:color w:val="000000" w:themeColor="text1"/>
          <w:kern w:val="0"/>
          <w:sz w:val="44"/>
          <w:szCs w:val="44"/>
          <w:shd w:val="clear" w:color="auto" w:fill="FFFFFF"/>
          <w14:textFill>
            <w14:solidFill>
              <w14:schemeClr w14:val="tx1"/>
            </w14:solidFill>
          </w14:textFill>
        </w:rPr>
        <w:t>火炬高新区</w:t>
      </w:r>
      <w:bookmarkEnd w:id="0"/>
      <w:bookmarkEnd w:id="1"/>
      <w:r>
        <w:rPr>
          <w:rFonts w:hint="eastAsia" w:ascii="黑体" w:hAnsi="黑体" w:eastAsia="黑体" w:cs="黑体"/>
          <w:b/>
          <w:color w:val="000000" w:themeColor="text1"/>
          <w:kern w:val="0"/>
          <w:sz w:val="44"/>
          <w:szCs w:val="44"/>
          <w:shd w:val="clear" w:color="auto" w:fill="FFFFFF"/>
          <w14:textFill>
            <w14:solidFill>
              <w14:schemeClr w14:val="tx1"/>
            </w14:solidFill>
          </w14:textFill>
        </w:rPr>
        <w:t>“湾区光谷”光电设计专项赛</w:t>
      </w:r>
    </w:p>
    <w:p w14:paraId="22B64C03">
      <w:pPr>
        <w:widowControl/>
        <w:shd w:val="clear" w:color="auto" w:fill="FFFFFF"/>
        <w:wordWrap w:val="0"/>
        <w:spacing w:after="240" w:line="600" w:lineRule="auto"/>
        <w:jc w:val="center"/>
        <w:rPr>
          <w:rFonts w:ascii="黑体" w:hAnsi="黑体" w:eastAsia="黑体" w:cs="黑体"/>
          <w:b/>
          <w:color w:val="000000" w:themeColor="text1"/>
          <w:kern w:val="0"/>
          <w:sz w:val="44"/>
          <w:szCs w:val="44"/>
          <w:shd w:val="clear" w:color="auto" w:fill="FFFFFF"/>
          <w14:textFill>
            <w14:solidFill>
              <w14:schemeClr w14:val="tx1"/>
            </w14:solidFill>
          </w14:textFill>
        </w:rPr>
      </w:pPr>
      <w:r>
        <w:rPr>
          <w:rFonts w:hint="eastAsia" w:ascii="黑体" w:hAnsi="黑体" w:eastAsia="黑体" w:cs="黑体"/>
          <w:b/>
          <w:color w:val="000000" w:themeColor="text1"/>
          <w:kern w:val="0"/>
          <w:sz w:val="44"/>
          <w:szCs w:val="44"/>
          <w:shd w:val="clear" w:color="auto" w:fill="FFFFFF"/>
          <w14:textFill>
            <w14:solidFill>
              <w14:schemeClr w14:val="tx1"/>
            </w14:solidFill>
          </w14:textFill>
        </w:rPr>
        <w:t>参赛指南</w:t>
      </w:r>
    </w:p>
    <w:p w14:paraId="75D0BDC8">
      <w:pPr>
        <w:tabs>
          <w:tab w:val="left" w:pos="494"/>
        </w:tabs>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一、大赛的背景与意义</w:t>
      </w:r>
    </w:p>
    <w:p w14:paraId="7D3A60B9">
      <w:pPr>
        <w:tabs>
          <w:tab w:val="left" w:pos="494"/>
        </w:tabs>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中山火炬高新区大力发展</w:t>
      </w:r>
      <w:r>
        <w:rPr>
          <w:rFonts w:hint="eastAsia" w:ascii="仿宋" w:hAnsi="仿宋" w:eastAsia="仿宋" w:cs="仿宋"/>
          <w:color w:val="000000" w:themeColor="text1"/>
          <w:sz w:val="28"/>
          <w:szCs w:val="28"/>
          <w:lang w:val="en-US" w:eastAsia="zh-CN"/>
          <w14:textFill>
            <w14:solidFill>
              <w14:schemeClr w14:val="tx1"/>
            </w14:solidFill>
          </w14:textFill>
        </w:rPr>
        <w:t>以</w:t>
      </w:r>
      <w:r>
        <w:rPr>
          <w:rFonts w:hint="eastAsia" w:ascii="仿宋" w:hAnsi="仿宋" w:eastAsia="仿宋" w:cs="仿宋"/>
          <w:color w:val="000000" w:themeColor="text1"/>
          <w:sz w:val="28"/>
          <w:szCs w:val="28"/>
          <w14:textFill>
            <w14:solidFill>
              <w14:schemeClr w14:val="tx1"/>
            </w14:solidFill>
          </w14:textFill>
        </w:rPr>
        <w:t>光电产业</w:t>
      </w:r>
      <w:r>
        <w:rPr>
          <w:rFonts w:hint="eastAsia" w:ascii="仿宋" w:hAnsi="仿宋" w:eastAsia="仿宋" w:cs="仿宋"/>
          <w:color w:val="000000" w:themeColor="text1"/>
          <w:sz w:val="28"/>
          <w:szCs w:val="28"/>
          <w:lang w:val="en-US" w:eastAsia="zh-CN"/>
          <w14:textFill>
            <w14:solidFill>
              <w14:schemeClr w14:val="tx1"/>
            </w14:solidFill>
          </w14:textFill>
        </w:rPr>
        <w:t>为主导产业之一的先进制造业</w:t>
      </w:r>
      <w:r>
        <w:rPr>
          <w:rFonts w:hint="eastAsia" w:ascii="仿宋" w:hAnsi="仿宋" w:eastAsia="仿宋" w:cs="仿宋"/>
          <w:color w:val="000000" w:themeColor="text1"/>
          <w:sz w:val="28"/>
          <w:szCs w:val="28"/>
          <w14:textFill>
            <w14:solidFill>
              <w14:schemeClr w14:val="tx1"/>
            </w14:solidFill>
          </w14:textFill>
        </w:rPr>
        <w:t>，已获批“广东省战略性新兴产业（光电产业）基地”</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“广东省特色产业园（光电及电子元器件）”等称号，光电产业</w:t>
      </w:r>
      <w:r>
        <w:rPr>
          <w:rFonts w:hint="eastAsia" w:ascii="仿宋" w:hAnsi="仿宋" w:eastAsia="仿宋" w:cs="仿宋"/>
          <w:color w:val="000000" w:themeColor="text1"/>
          <w:sz w:val="28"/>
          <w:szCs w:val="28"/>
          <w:lang w:val="en-US" w:eastAsia="zh-CN"/>
          <w14:textFill>
            <w14:solidFill>
              <w14:schemeClr w14:val="tx1"/>
            </w14:solidFill>
          </w14:textFill>
        </w:rPr>
        <w:t>成为</w:t>
      </w:r>
      <w:r>
        <w:rPr>
          <w:rFonts w:hint="eastAsia" w:ascii="仿宋" w:hAnsi="仿宋" w:eastAsia="仿宋" w:cs="仿宋"/>
          <w:color w:val="000000" w:themeColor="text1"/>
          <w:sz w:val="28"/>
          <w:szCs w:val="28"/>
          <w14:textFill>
            <w14:solidFill>
              <w14:schemeClr w14:val="tx1"/>
            </w14:solidFill>
          </w14:textFill>
        </w:rPr>
        <w:t>中山市</w:t>
      </w:r>
      <w:r>
        <w:rPr>
          <w:rFonts w:hint="eastAsia" w:ascii="仿宋" w:hAnsi="仿宋" w:eastAsia="仿宋" w:cs="仿宋"/>
          <w:color w:val="000000" w:themeColor="text1"/>
          <w:sz w:val="28"/>
          <w:szCs w:val="28"/>
          <w:lang w:val="en-US" w:eastAsia="zh-CN"/>
          <w14:textFill>
            <w14:solidFill>
              <w14:schemeClr w14:val="tx1"/>
            </w14:solidFill>
          </w14:textFill>
        </w:rPr>
        <w:t>先进制造业的支柱之一</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举办光电设计专项</w:t>
      </w:r>
      <w:r>
        <w:rPr>
          <w:rFonts w:hint="eastAsia" w:ascii="仿宋" w:hAnsi="仿宋" w:eastAsia="仿宋" w:cs="仿宋"/>
          <w:color w:val="000000" w:themeColor="text1"/>
          <w:sz w:val="28"/>
          <w:szCs w:val="28"/>
          <w14:textFill>
            <w14:solidFill>
              <w14:schemeClr w14:val="tx1"/>
            </w14:solidFill>
          </w14:textFill>
        </w:rPr>
        <w:t>赛旨在搭建创新平台，促进</w:t>
      </w:r>
      <w:r>
        <w:rPr>
          <w:rFonts w:hint="eastAsia" w:ascii="仿宋" w:hAnsi="仿宋" w:eastAsia="仿宋" w:cs="仿宋"/>
          <w:color w:val="000000" w:themeColor="text1"/>
          <w:sz w:val="28"/>
          <w:szCs w:val="28"/>
          <w:lang w:val="en-US" w:eastAsia="zh-CN"/>
          <w14:textFill>
            <w14:solidFill>
              <w14:schemeClr w14:val="tx1"/>
            </w14:solidFill>
          </w14:textFill>
        </w:rPr>
        <w:t>工业</w:t>
      </w:r>
      <w:r>
        <w:rPr>
          <w:rFonts w:hint="eastAsia" w:ascii="仿宋" w:hAnsi="仿宋" w:eastAsia="仿宋" w:cs="仿宋"/>
          <w:color w:val="000000" w:themeColor="text1"/>
          <w:sz w:val="28"/>
          <w:szCs w:val="28"/>
          <w14:textFill>
            <w14:solidFill>
              <w14:schemeClr w14:val="tx1"/>
            </w14:solidFill>
          </w14:textFill>
        </w:rPr>
        <w:t>设计、</w:t>
      </w:r>
      <w:r>
        <w:rPr>
          <w:rFonts w:hint="eastAsia" w:ascii="仿宋" w:hAnsi="仿宋" w:eastAsia="仿宋" w:cs="仿宋"/>
          <w:color w:val="000000" w:themeColor="text1"/>
          <w:sz w:val="28"/>
          <w:szCs w:val="28"/>
          <w:lang w:val="en-US" w:eastAsia="zh-CN"/>
          <w14:textFill>
            <w14:solidFill>
              <w14:schemeClr w14:val="tx1"/>
            </w14:solidFill>
          </w14:textFill>
        </w:rPr>
        <w:t>科技创新</w:t>
      </w:r>
      <w:r>
        <w:rPr>
          <w:rFonts w:hint="eastAsia" w:ascii="仿宋" w:hAnsi="仿宋" w:eastAsia="仿宋" w:cs="仿宋"/>
          <w:color w:val="000000" w:themeColor="text1"/>
          <w:sz w:val="28"/>
          <w:szCs w:val="28"/>
          <w14:textFill>
            <w14:solidFill>
              <w14:schemeClr w14:val="tx1"/>
            </w14:solidFill>
          </w14:textFill>
        </w:rPr>
        <w:t>与</w:t>
      </w:r>
      <w:r>
        <w:rPr>
          <w:rFonts w:hint="eastAsia" w:ascii="仿宋" w:hAnsi="仿宋" w:eastAsia="仿宋" w:cs="仿宋"/>
          <w:color w:val="000000" w:themeColor="text1"/>
          <w:sz w:val="28"/>
          <w:szCs w:val="28"/>
          <w:lang w:val="en-US" w:eastAsia="zh-CN"/>
          <w14:textFill>
            <w14:solidFill>
              <w14:schemeClr w14:val="tx1"/>
            </w14:solidFill>
          </w14:textFill>
        </w:rPr>
        <w:t>产业发展</w:t>
      </w:r>
      <w:r>
        <w:rPr>
          <w:rFonts w:hint="eastAsia" w:ascii="仿宋" w:hAnsi="仿宋" w:eastAsia="仿宋" w:cs="仿宋"/>
          <w:color w:val="000000" w:themeColor="text1"/>
          <w:sz w:val="28"/>
          <w:szCs w:val="28"/>
          <w14:textFill>
            <w14:solidFill>
              <w14:schemeClr w14:val="tx1"/>
            </w14:solidFill>
          </w14:textFill>
        </w:rPr>
        <w:t>的</w:t>
      </w:r>
      <w:r>
        <w:rPr>
          <w:rFonts w:hint="eastAsia" w:ascii="仿宋" w:hAnsi="仿宋" w:eastAsia="仿宋" w:cs="仿宋"/>
          <w:color w:val="000000" w:themeColor="text1"/>
          <w:sz w:val="28"/>
          <w:szCs w:val="28"/>
          <w:lang w:val="en-US" w:eastAsia="zh-CN"/>
          <w14:textFill>
            <w14:solidFill>
              <w14:schemeClr w14:val="tx1"/>
            </w14:solidFill>
          </w14:textFill>
        </w:rPr>
        <w:t>融合</w:t>
      </w:r>
      <w:r>
        <w:rPr>
          <w:rFonts w:hint="eastAsia" w:ascii="仿宋" w:hAnsi="仿宋" w:eastAsia="仿宋" w:cs="仿宋"/>
          <w:color w:val="000000" w:themeColor="text1"/>
          <w:sz w:val="28"/>
          <w:szCs w:val="28"/>
          <w14:textFill>
            <w14:solidFill>
              <w14:schemeClr w14:val="tx1"/>
            </w14:solidFill>
          </w14:textFill>
        </w:rPr>
        <w:t>交流，</w:t>
      </w:r>
      <w:r>
        <w:rPr>
          <w:rFonts w:hint="eastAsia" w:ascii="仿宋" w:hAnsi="仿宋" w:eastAsia="仿宋" w:cs="仿宋"/>
          <w:color w:val="000000" w:themeColor="text1"/>
          <w:sz w:val="28"/>
          <w:szCs w:val="28"/>
          <w:lang w:val="en-US" w:eastAsia="zh-CN"/>
          <w14:textFill>
            <w14:solidFill>
              <w14:schemeClr w14:val="tx1"/>
            </w14:solidFill>
          </w14:textFill>
        </w:rPr>
        <w:t>为</w:t>
      </w:r>
      <w:r>
        <w:rPr>
          <w:rFonts w:hint="eastAsia" w:ascii="仿宋" w:hAnsi="仿宋" w:eastAsia="仿宋" w:cs="仿宋"/>
          <w:color w:val="000000" w:themeColor="text1"/>
          <w:sz w:val="28"/>
          <w:szCs w:val="28"/>
          <w14:textFill>
            <w14:solidFill>
              <w14:schemeClr w14:val="tx1"/>
            </w14:solidFill>
          </w14:textFill>
        </w:rPr>
        <w:t>光电产业</w:t>
      </w:r>
      <w:r>
        <w:rPr>
          <w:rFonts w:hint="eastAsia" w:ascii="仿宋" w:hAnsi="仿宋" w:eastAsia="仿宋" w:cs="仿宋"/>
          <w:color w:val="000000" w:themeColor="text1"/>
          <w:sz w:val="28"/>
          <w:szCs w:val="28"/>
          <w:lang w:val="en-US" w:eastAsia="zh-CN"/>
          <w14:textFill>
            <w14:solidFill>
              <w14:schemeClr w14:val="tx1"/>
            </w14:solidFill>
          </w14:textFill>
        </w:rPr>
        <w:t>注入</w:t>
      </w:r>
      <w:r>
        <w:rPr>
          <w:rFonts w:hint="eastAsia" w:ascii="仿宋" w:hAnsi="仿宋" w:eastAsia="仿宋" w:cs="仿宋"/>
          <w:color w:val="000000" w:themeColor="text1"/>
          <w:sz w:val="28"/>
          <w:szCs w:val="28"/>
          <w:lang w:eastAsia="zh-CN"/>
          <w14:textFill>
            <w14:solidFill>
              <w14:schemeClr w14:val="tx1"/>
            </w14:solidFill>
          </w14:textFill>
        </w:rPr>
        <w:t>“智造”动力，</w:t>
      </w:r>
      <w:r>
        <w:rPr>
          <w:rFonts w:hint="eastAsia" w:ascii="仿宋" w:hAnsi="仿宋" w:eastAsia="仿宋" w:cs="仿宋"/>
          <w:color w:val="000000" w:themeColor="text1"/>
          <w:sz w:val="28"/>
          <w:szCs w:val="28"/>
          <w14:textFill>
            <w14:solidFill>
              <w14:schemeClr w14:val="tx1"/>
            </w14:solidFill>
          </w14:textFill>
        </w:rPr>
        <w:t>进一步推动</w:t>
      </w:r>
      <w:r>
        <w:rPr>
          <w:rFonts w:hint="eastAsia" w:ascii="仿宋" w:hAnsi="仿宋" w:eastAsia="仿宋" w:cs="仿宋"/>
          <w:color w:val="000000" w:themeColor="text1"/>
          <w:sz w:val="28"/>
          <w:szCs w:val="28"/>
          <w:lang w:val="en-US" w:eastAsia="zh-CN"/>
          <w14:textFill>
            <w14:solidFill>
              <w14:schemeClr w14:val="tx1"/>
            </w14:solidFill>
          </w14:textFill>
        </w:rPr>
        <w:t>全市先进制造业高质量发展，</w:t>
      </w:r>
      <w:r>
        <w:rPr>
          <w:rFonts w:hint="eastAsia" w:ascii="仿宋" w:hAnsi="仿宋" w:eastAsia="仿宋" w:cs="仿宋"/>
          <w:color w:val="000000" w:themeColor="text1"/>
          <w:sz w:val="28"/>
          <w:szCs w:val="28"/>
          <w:lang w:eastAsia="zh-CN"/>
          <w14:textFill>
            <w14:solidFill>
              <w14:schemeClr w14:val="tx1"/>
            </w14:solidFill>
          </w14:textFill>
        </w:rPr>
        <w:t>进一步擦亮“湾区光谷”新名片</w:t>
      </w:r>
      <w:r>
        <w:rPr>
          <w:rFonts w:hint="eastAsia" w:ascii="仿宋" w:hAnsi="仿宋" w:eastAsia="仿宋" w:cs="仿宋"/>
          <w:color w:val="000000" w:themeColor="text1"/>
          <w:sz w:val="28"/>
          <w:szCs w:val="28"/>
          <w14:textFill>
            <w14:solidFill>
              <w14:schemeClr w14:val="tx1"/>
            </w14:solidFill>
          </w14:textFill>
        </w:rPr>
        <w:t>。</w:t>
      </w:r>
    </w:p>
    <w:p w14:paraId="6E9D86E3">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p>
    <w:p w14:paraId="70D3189A">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二、大赛的主题</w:t>
      </w:r>
    </w:p>
    <w:p w14:paraId="1B629E31">
      <w:pPr>
        <w:spacing w:line="336" w:lineRule="auto"/>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光电</w:t>
      </w:r>
      <w:r>
        <w:rPr>
          <w:rFonts w:hint="eastAsia" w:ascii="仿宋" w:hAnsi="仿宋" w:eastAsia="仿宋" w:cs="仿宋"/>
          <w:color w:val="000000" w:themeColor="text1"/>
          <w:sz w:val="28"/>
          <w:szCs w:val="28"/>
          <w:lang w:val="en-US" w:eastAsia="zh-CN"/>
          <w14:textFill>
            <w14:solidFill>
              <w14:schemeClr w14:val="tx1"/>
            </w14:solidFill>
          </w14:textFill>
        </w:rPr>
        <w:t>智慧</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感知</w:t>
      </w:r>
      <w:r>
        <w:rPr>
          <w:rFonts w:hint="eastAsia" w:ascii="仿宋" w:hAnsi="仿宋" w:eastAsia="仿宋" w:cs="仿宋"/>
          <w:color w:val="000000" w:themeColor="text1"/>
          <w:sz w:val="28"/>
          <w:szCs w:val="28"/>
          <w:lang w:eastAsia="zh-CN"/>
          <w14:textFill>
            <w14:solidFill>
              <w14:schemeClr w14:val="tx1"/>
            </w14:solidFill>
          </w14:textFill>
        </w:rPr>
        <w:t>未来</w:t>
      </w:r>
    </w:p>
    <w:p w14:paraId="044BECDD">
      <w:pPr>
        <w:spacing w:line="336" w:lineRule="auto"/>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p>
    <w:p w14:paraId="649DF332">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三、组织架构</w:t>
      </w:r>
    </w:p>
    <w:p w14:paraId="3175F391">
      <w:pPr>
        <w:tabs>
          <w:tab w:val="left" w:pos="494"/>
        </w:tabs>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主办单位</w:t>
      </w:r>
    </w:p>
    <w:p w14:paraId="7540CAD1">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中山市工业和信息化局</w:t>
      </w:r>
    </w:p>
    <w:p w14:paraId="4C9CC259">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中山火炬高技术产业开发区管委会</w:t>
      </w:r>
    </w:p>
    <w:p w14:paraId="3A67DAC5">
      <w:pPr>
        <w:tabs>
          <w:tab w:val="left" w:pos="494"/>
        </w:tabs>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协办单位</w:t>
      </w:r>
    </w:p>
    <w:p w14:paraId="27A6E3CA">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中山火炬高技术产业开发区科创发展和投资促进局</w:t>
      </w:r>
    </w:p>
    <w:p w14:paraId="6D8F8E22">
      <w:pPr>
        <w:tabs>
          <w:tab w:val="left" w:pos="494"/>
        </w:tabs>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承办单位</w:t>
      </w:r>
    </w:p>
    <w:p w14:paraId="0092C489">
      <w:pPr>
        <w:tabs>
          <w:tab w:val="left" w:pos="494"/>
        </w:tabs>
        <w:snapToGrid w:val="0"/>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中山市光电产业协会</w:t>
      </w:r>
    </w:p>
    <w:p w14:paraId="3D5A8AD5">
      <w:pPr>
        <w:tabs>
          <w:tab w:val="left" w:pos="494"/>
        </w:tabs>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支持单位</w:t>
      </w:r>
    </w:p>
    <w:p w14:paraId="4BE47269">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中山火炬高新区工商联（商会）</w:t>
      </w:r>
    </w:p>
    <w:p w14:paraId="58A0A9AD">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中山市张家边企业集团有限公司</w:t>
      </w:r>
    </w:p>
    <w:p w14:paraId="3F9793F2">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中山火炬工业集团有限公司</w:t>
      </w:r>
    </w:p>
    <w:p w14:paraId="2428FCB9">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长春理工大学光电工程学院</w:t>
      </w:r>
    </w:p>
    <w:p w14:paraId="760539D7">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长春理工大学中山研究院</w:t>
      </w:r>
    </w:p>
    <w:p w14:paraId="475CC7EF">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电子科技大学中山学院</w:t>
      </w:r>
    </w:p>
    <w:p w14:paraId="6C2B2C7A">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bookmarkStart w:id="2" w:name="OLE_LINK28"/>
      <w:r>
        <w:rPr>
          <w:rFonts w:hint="eastAsia" w:ascii="仿宋" w:hAnsi="仿宋" w:eastAsia="仿宋" w:cs="仿宋"/>
          <w:bCs/>
          <w:color w:val="000000" w:themeColor="text1"/>
          <w:sz w:val="28"/>
          <w:szCs w:val="28"/>
          <w14:textFill>
            <w14:solidFill>
              <w14:schemeClr w14:val="tx1"/>
            </w14:solidFill>
          </w14:textFill>
        </w:rPr>
        <w:t>中山火炬职业技术学院</w:t>
      </w:r>
    </w:p>
    <w:p w14:paraId="1A1B7179">
      <w:pPr>
        <w:tabs>
          <w:tab w:val="left" w:pos="494"/>
        </w:tabs>
        <w:spacing w:line="336" w:lineRule="auto"/>
        <w:ind w:firstLine="560" w:firstLineChars="200"/>
        <w:rPr>
          <w:rFonts w:hint="eastAsia" w:ascii="仿宋" w:hAnsi="仿宋" w:eastAsia="仿宋" w:cs="仿宋"/>
          <w:bCs/>
          <w:color w:val="000000" w:themeColor="text1"/>
          <w:sz w:val="28"/>
          <w:szCs w:val="28"/>
          <w:lang w:eastAsia="zh-CN"/>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中山市第一职业技术学校</w:t>
      </w:r>
    </w:p>
    <w:p w14:paraId="64A899D8">
      <w:pPr>
        <w:tabs>
          <w:tab w:val="left" w:pos="494"/>
        </w:tabs>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中山市光学学会</w:t>
      </w:r>
    </w:p>
    <w:p w14:paraId="16716945">
      <w:pPr>
        <w:tabs>
          <w:tab w:val="left" w:pos="494"/>
        </w:tabs>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lang w:eastAsia="zh-CN"/>
          <w14:textFill>
            <w14:solidFill>
              <w14:schemeClr w14:val="tx1"/>
            </w14:solidFill>
          </w14:textFill>
        </w:rPr>
        <w:t>中山市工业设计协会</w:t>
      </w:r>
    </w:p>
    <w:bookmarkEnd w:id="2"/>
    <w:p w14:paraId="263E771B">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深圳市光学光电子行业协会</w:t>
      </w:r>
    </w:p>
    <w:p w14:paraId="34B5D4B1">
      <w:pPr>
        <w:tabs>
          <w:tab w:val="left" w:pos="494"/>
        </w:tabs>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中国国际光电博览会（CIOE）</w:t>
      </w:r>
    </w:p>
    <w:p w14:paraId="173C1E8F">
      <w:pPr>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深圳市增强现实技术应用协会</w:t>
      </w:r>
    </w:p>
    <w:p w14:paraId="2F30F690">
      <w:pPr>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中山火炬高技术创业中心有限公司</w:t>
      </w:r>
    </w:p>
    <w:p w14:paraId="09900AF9">
      <w:pPr>
        <w:spacing w:line="336" w:lineRule="auto"/>
        <w:ind w:firstLine="560" w:firstLineChars="200"/>
        <w:rPr>
          <w:rFonts w:hint="eastAsia"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中山市张企孵化器管理有限公司</w:t>
      </w:r>
    </w:p>
    <w:p w14:paraId="54876962">
      <w:pPr>
        <w:spacing w:line="336" w:lineRule="auto"/>
        <w:rPr>
          <w:rFonts w:hint="eastAsia" w:ascii="仿宋" w:hAnsi="仿宋" w:eastAsia="仿宋" w:cs="仿宋"/>
          <w:b/>
          <w:bCs/>
          <w:color w:val="000000" w:themeColor="text1"/>
          <w:sz w:val="28"/>
          <w:szCs w:val="28"/>
          <w14:textFill>
            <w14:solidFill>
              <w14:schemeClr w14:val="tx1"/>
            </w14:solidFill>
          </w14:textFill>
        </w:rPr>
      </w:pPr>
    </w:p>
    <w:p w14:paraId="5EE5B823">
      <w:pPr>
        <w:spacing w:line="336" w:lineRule="auto"/>
        <w:ind w:firstLine="562" w:firstLineChars="200"/>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四、</w:t>
      </w:r>
      <w:r>
        <w:rPr>
          <w:rFonts w:hint="eastAsia" w:ascii="仿宋" w:hAnsi="仿宋" w:eastAsia="仿宋" w:cs="仿宋"/>
          <w:b/>
          <w:bCs/>
          <w:color w:val="000000" w:themeColor="text1"/>
          <w:sz w:val="28"/>
          <w:szCs w:val="28"/>
          <w:lang w:val="en-US" w:eastAsia="zh-CN"/>
          <w14:textFill>
            <w14:solidFill>
              <w14:schemeClr w14:val="tx1"/>
            </w14:solidFill>
          </w14:textFill>
        </w:rPr>
        <w:t>作品范围</w:t>
      </w:r>
    </w:p>
    <w:p w14:paraId="6EC60545">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本届</w:t>
      </w:r>
      <w:r>
        <w:rPr>
          <w:rFonts w:hint="eastAsia" w:ascii="仿宋" w:hAnsi="仿宋" w:eastAsia="仿宋" w:cs="仿宋"/>
          <w:color w:val="000000" w:themeColor="text1"/>
          <w:sz w:val="28"/>
          <w:szCs w:val="28"/>
          <w:lang w:val="en-US" w:eastAsia="zh-CN"/>
          <w14:textFill>
            <w14:solidFill>
              <w14:schemeClr w14:val="tx1"/>
            </w14:solidFill>
          </w14:textFill>
        </w:rPr>
        <w:t>专项</w:t>
      </w:r>
      <w:r>
        <w:rPr>
          <w:rFonts w:hint="eastAsia" w:ascii="仿宋" w:hAnsi="仿宋" w:eastAsia="仿宋" w:cs="仿宋"/>
          <w:color w:val="000000" w:themeColor="text1"/>
          <w:sz w:val="28"/>
          <w:szCs w:val="28"/>
          <w14:textFill>
            <w14:solidFill>
              <w14:schemeClr w14:val="tx1"/>
            </w14:solidFill>
          </w14:textFill>
        </w:rPr>
        <w:t>赛</w:t>
      </w:r>
      <w:r>
        <w:rPr>
          <w:rFonts w:hint="eastAsia" w:ascii="仿宋" w:hAnsi="仿宋" w:eastAsia="仿宋" w:cs="仿宋"/>
          <w:color w:val="000000" w:themeColor="text1"/>
          <w:sz w:val="28"/>
          <w:szCs w:val="28"/>
          <w:lang w:val="en-US" w:eastAsia="zh-CN"/>
          <w14:textFill>
            <w14:solidFill>
              <w14:schemeClr w14:val="tx1"/>
            </w14:solidFill>
          </w14:textFill>
        </w:rPr>
        <w:t>设置</w:t>
      </w:r>
      <w:r>
        <w:rPr>
          <w:rFonts w:hint="eastAsia" w:ascii="仿宋" w:hAnsi="仿宋" w:eastAsia="仿宋" w:cs="仿宋"/>
          <w:b/>
          <w:bCs/>
          <w:color w:val="000000" w:themeColor="text1"/>
          <w:sz w:val="28"/>
          <w:szCs w:val="28"/>
          <w14:textFill>
            <w14:solidFill>
              <w14:schemeClr w14:val="tx1"/>
            </w14:solidFill>
          </w14:textFill>
        </w:rPr>
        <w:t>产品设计组</w:t>
      </w:r>
      <w:r>
        <w:rPr>
          <w:rFonts w:hint="eastAsia" w:ascii="仿宋" w:hAnsi="仿宋" w:eastAsia="仿宋" w:cs="仿宋"/>
          <w:color w:val="000000" w:themeColor="text1"/>
          <w:sz w:val="28"/>
          <w:szCs w:val="28"/>
          <w14:textFill>
            <w14:solidFill>
              <w14:schemeClr w14:val="tx1"/>
            </w14:solidFill>
          </w14:textFill>
        </w:rPr>
        <w:t>和</w:t>
      </w:r>
      <w:r>
        <w:rPr>
          <w:rFonts w:hint="eastAsia" w:ascii="仿宋" w:hAnsi="仿宋" w:eastAsia="仿宋" w:cs="仿宋"/>
          <w:b/>
          <w:bCs/>
          <w:color w:val="000000" w:themeColor="text1"/>
          <w:sz w:val="28"/>
          <w:szCs w:val="28"/>
          <w14:textFill>
            <w14:solidFill>
              <w14:schemeClr w14:val="tx1"/>
            </w14:solidFill>
          </w14:textFill>
        </w:rPr>
        <w:t>概念设计组</w:t>
      </w:r>
      <w:r>
        <w:rPr>
          <w:rFonts w:hint="eastAsia" w:ascii="仿宋" w:hAnsi="仿宋" w:eastAsia="仿宋" w:cs="仿宋"/>
          <w:color w:val="000000" w:themeColor="text1"/>
          <w:sz w:val="28"/>
          <w:szCs w:val="28"/>
          <w:lang w:val="en-US" w:eastAsia="zh-CN"/>
          <w14:textFill>
            <w14:solidFill>
              <w14:schemeClr w14:val="tx1"/>
            </w14:solidFill>
          </w14:textFill>
        </w:rPr>
        <w:t>两个组别</w:t>
      </w:r>
      <w:r>
        <w:rPr>
          <w:rFonts w:hint="eastAsia" w:ascii="仿宋" w:hAnsi="仿宋" w:eastAsia="仿宋" w:cs="仿宋"/>
          <w:color w:val="000000" w:themeColor="text1"/>
          <w:sz w:val="28"/>
          <w:szCs w:val="28"/>
          <w14:textFill>
            <w14:solidFill>
              <w14:schemeClr w14:val="tx1"/>
            </w14:solidFill>
          </w14:textFill>
        </w:rPr>
        <w:t>，以适应不同阶段的设计作品。参赛者可根据自己的作品特点，选择适合的组别进行投稿。参赛作品包括</w:t>
      </w:r>
      <w:r>
        <w:rPr>
          <w:rFonts w:hint="eastAsia" w:ascii="仿宋" w:hAnsi="仿宋" w:eastAsia="仿宋" w:cs="仿宋"/>
          <w:color w:val="000000" w:themeColor="text1"/>
          <w:sz w:val="28"/>
          <w:szCs w:val="28"/>
          <w:lang w:val="en-US" w:eastAsia="zh-CN"/>
          <w14:textFill>
            <w14:solidFill>
              <w14:schemeClr w14:val="tx1"/>
            </w14:solidFill>
          </w14:textFill>
        </w:rPr>
        <w:t>但不限于</w:t>
      </w:r>
      <w:r>
        <w:rPr>
          <w:rFonts w:hint="eastAsia" w:ascii="仿宋" w:hAnsi="仿宋" w:eastAsia="仿宋" w:cs="仿宋"/>
          <w:color w:val="000000" w:themeColor="text1"/>
          <w:sz w:val="28"/>
          <w:szCs w:val="28"/>
          <w14:textFill>
            <w14:solidFill>
              <w14:schemeClr w14:val="tx1"/>
            </w14:solidFill>
          </w14:textFill>
        </w:rPr>
        <w:t>VR眼镜、光学镜头、投影仪</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激光</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智慧照明</w:t>
      </w:r>
      <w:r>
        <w:rPr>
          <w:rFonts w:hint="eastAsia" w:ascii="仿宋" w:hAnsi="仿宋" w:eastAsia="仿宋" w:cs="仿宋"/>
          <w:color w:val="000000" w:themeColor="text1"/>
          <w:sz w:val="28"/>
          <w:szCs w:val="28"/>
          <w14:textFill>
            <w14:solidFill>
              <w14:schemeClr w14:val="tx1"/>
            </w14:solidFill>
          </w14:textFill>
        </w:rPr>
        <w:t>等体现出创新的设计思路和技术应用</w:t>
      </w:r>
      <w:r>
        <w:rPr>
          <w:rFonts w:hint="eastAsia" w:ascii="仿宋" w:hAnsi="仿宋" w:eastAsia="仿宋" w:cs="仿宋"/>
          <w:color w:val="000000" w:themeColor="text1"/>
          <w:sz w:val="28"/>
          <w:szCs w:val="28"/>
          <w:lang w:eastAsia="zh-CN"/>
          <w14:textFill>
            <w14:solidFill>
              <w14:schemeClr w14:val="tx1"/>
            </w14:solidFill>
          </w14:textFill>
        </w:rPr>
        <w:t>的</w:t>
      </w:r>
      <w:r>
        <w:rPr>
          <w:rFonts w:hint="eastAsia" w:ascii="仿宋" w:hAnsi="仿宋" w:eastAsia="仿宋" w:cs="仿宋"/>
          <w:color w:val="000000" w:themeColor="text1"/>
          <w:sz w:val="28"/>
          <w:szCs w:val="28"/>
          <w:lang w:val="en-US" w:eastAsia="zh-CN"/>
          <w14:textFill>
            <w14:solidFill>
              <w14:schemeClr w14:val="tx1"/>
            </w14:solidFill>
          </w14:textFill>
        </w:rPr>
        <w:t>光电产品</w:t>
      </w:r>
      <w:r>
        <w:rPr>
          <w:rFonts w:hint="eastAsia" w:ascii="仿宋" w:hAnsi="仿宋" w:eastAsia="仿宋" w:cs="仿宋"/>
          <w:color w:val="000000" w:themeColor="text1"/>
          <w:sz w:val="28"/>
          <w:szCs w:val="28"/>
          <w14:textFill>
            <w14:solidFill>
              <w14:schemeClr w14:val="tx1"/>
            </w14:solidFill>
          </w14:textFill>
        </w:rPr>
        <w:t>。符合国家产业政策及相关技术、标准等规定，满足低碳、绿色、环保的设计理念，在功能、结构设计、技术创新、形态创意、材料选择、制作工艺、节能效率以及环境保护方面应当展现出显著的创新性。</w:t>
      </w:r>
    </w:p>
    <w:p w14:paraId="04DB8223">
      <w:pPr>
        <w:spacing w:line="336" w:lineRule="auto"/>
        <w:ind w:firstLine="562"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产品设计组</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作品须在</w:t>
      </w: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lang w:val="en-US" w:eastAsia="zh-CN"/>
          <w14:textFill>
            <w14:solidFill>
              <w14:schemeClr w14:val="tx1"/>
            </w14:solidFill>
          </w14:textFill>
        </w:rPr>
        <w:t>7</w:t>
      </w:r>
      <w:r>
        <w:rPr>
          <w:rFonts w:hint="eastAsia" w:ascii="仿宋" w:hAnsi="仿宋" w:eastAsia="仿宋" w:cs="仿宋"/>
          <w:color w:val="000000" w:themeColor="text1"/>
          <w:sz w:val="28"/>
          <w:szCs w:val="28"/>
          <w14:textFill>
            <w14:solidFill>
              <w14:schemeClr w14:val="tx1"/>
            </w14:solidFill>
          </w14:textFill>
        </w:rPr>
        <w:t>月1日之后上市，或未上市但能够在今年内投入量产的产品，且符合国家产业政策规定</w:t>
      </w:r>
      <w:r>
        <w:rPr>
          <w:rFonts w:hint="eastAsia" w:ascii="仿宋" w:hAnsi="仿宋" w:eastAsia="仿宋" w:cs="仿宋"/>
          <w:color w:val="000000" w:themeColor="text1"/>
          <w:sz w:val="28"/>
          <w:szCs w:val="28"/>
          <w:lang w:eastAsia="zh-CN"/>
          <w14:textFill>
            <w14:solidFill>
              <w14:schemeClr w14:val="tx1"/>
            </w14:solidFill>
          </w14:textFill>
        </w:rPr>
        <w:t>的</w:t>
      </w:r>
      <w:r>
        <w:rPr>
          <w:rFonts w:hint="eastAsia" w:ascii="仿宋" w:hAnsi="仿宋" w:eastAsia="仿宋" w:cs="仿宋"/>
          <w:color w:val="000000" w:themeColor="text1"/>
          <w:sz w:val="28"/>
          <w:szCs w:val="28"/>
          <w14:textFill>
            <w14:solidFill>
              <w14:schemeClr w14:val="tx1"/>
            </w14:solidFill>
          </w14:textFill>
        </w:rPr>
        <w:t>产品，确保其在市场上的合法性和合规性。</w:t>
      </w:r>
    </w:p>
    <w:p w14:paraId="03AD5BBC">
      <w:pPr>
        <w:spacing w:line="336" w:lineRule="auto"/>
        <w:ind w:firstLine="562"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概念设计组</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参赛作品原则上须是</w:t>
      </w: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lang w:val="en-US" w:eastAsia="zh-CN"/>
          <w14:textFill>
            <w14:solidFill>
              <w14:schemeClr w14:val="tx1"/>
            </w14:solidFill>
          </w14:textFill>
        </w:rPr>
        <w:t>7</w:t>
      </w:r>
      <w:r>
        <w:rPr>
          <w:rFonts w:hint="eastAsia" w:ascii="仿宋" w:hAnsi="仿宋" w:eastAsia="仿宋" w:cs="仿宋"/>
          <w:color w:val="000000" w:themeColor="text1"/>
          <w:sz w:val="28"/>
          <w:szCs w:val="28"/>
          <w14:textFill>
            <w14:solidFill>
              <w14:schemeClr w14:val="tx1"/>
            </w14:solidFill>
          </w14:textFill>
        </w:rPr>
        <w:t>月1日后完成的原创作品，且拥有完全的知识产权。须未在市场上生产或销售</w:t>
      </w:r>
      <w:r>
        <w:rPr>
          <w:rFonts w:hint="eastAsia" w:ascii="仿宋" w:hAnsi="仿宋" w:eastAsia="仿宋" w:cs="仿宋"/>
          <w:color w:val="000000" w:themeColor="text1"/>
          <w:sz w:val="28"/>
          <w:szCs w:val="28"/>
          <w:lang w:eastAsia="zh-CN"/>
          <w14:textFill>
            <w14:solidFill>
              <w14:schemeClr w14:val="tx1"/>
            </w14:solidFill>
          </w14:textFill>
        </w:rPr>
        <w:t>的原创设计作品、</w:t>
      </w:r>
      <w:r>
        <w:rPr>
          <w:rFonts w:hint="eastAsia" w:ascii="仿宋" w:hAnsi="仿宋" w:eastAsia="仿宋" w:cs="仿宋"/>
          <w:color w:val="000000" w:themeColor="text1"/>
          <w:sz w:val="28"/>
          <w:szCs w:val="28"/>
          <w14:textFill>
            <w14:solidFill>
              <w14:schemeClr w14:val="tx1"/>
            </w14:solidFill>
          </w14:textFill>
        </w:rPr>
        <w:t>方案，且在功能、结构、形态、技术、材料以</w:t>
      </w:r>
      <w:r>
        <w:rPr>
          <w:rFonts w:hint="eastAsia" w:ascii="仿宋" w:hAnsi="仿宋" w:eastAsia="仿宋" w:cs="仿宋"/>
          <w:color w:val="000000" w:themeColor="text1"/>
          <w:sz w:val="28"/>
          <w:szCs w:val="28"/>
          <w:lang w:eastAsia="zh-CN"/>
          <w14:textFill>
            <w14:solidFill>
              <w14:schemeClr w14:val="tx1"/>
            </w14:solidFill>
          </w14:textFill>
        </w:rPr>
        <w:t>和</w:t>
      </w:r>
      <w:r>
        <w:rPr>
          <w:rFonts w:hint="eastAsia" w:ascii="仿宋" w:hAnsi="仿宋" w:eastAsia="仿宋" w:cs="仿宋"/>
          <w:color w:val="000000" w:themeColor="text1"/>
          <w:sz w:val="28"/>
          <w:szCs w:val="28"/>
          <w14:textFill>
            <w14:solidFill>
              <w14:schemeClr w14:val="tx1"/>
            </w14:solidFill>
          </w14:textFill>
        </w:rPr>
        <w:t>低碳等方面有</w:t>
      </w:r>
      <w:r>
        <w:rPr>
          <w:rFonts w:hint="eastAsia" w:ascii="仿宋" w:hAnsi="仿宋" w:eastAsia="仿宋" w:cs="仿宋"/>
          <w:color w:val="000000" w:themeColor="text1"/>
          <w:sz w:val="28"/>
          <w:szCs w:val="28"/>
          <w:lang w:eastAsia="zh-CN"/>
          <w14:textFill>
            <w14:solidFill>
              <w14:schemeClr w14:val="tx1"/>
            </w14:solidFill>
          </w14:textFill>
        </w:rPr>
        <w:t>较大</w:t>
      </w:r>
      <w:r>
        <w:rPr>
          <w:rFonts w:hint="eastAsia" w:ascii="仿宋" w:hAnsi="仿宋" w:eastAsia="仿宋" w:cs="仿宋"/>
          <w:color w:val="000000" w:themeColor="text1"/>
          <w:sz w:val="28"/>
          <w:szCs w:val="28"/>
          <w14:textFill>
            <w14:solidFill>
              <w14:schemeClr w14:val="tx1"/>
            </w14:solidFill>
          </w14:textFill>
        </w:rPr>
        <w:t>的创新性。</w:t>
      </w:r>
    </w:p>
    <w:p w14:paraId="4DBB057F">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p w14:paraId="1A2BE7EE">
      <w:pPr>
        <w:spacing w:line="336" w:lineRule="auto"/>
        <w:ind w:firstLine="562" w:firstLineChars="200"/>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五、</w:t>
      </w:r>
      <w:r>
        <w:rPr>
          <w:rFonts w:hint="eastAsia" w:ascii="仿宋" w:hAnsi="仿宋" w:eastAsia="仿宋" w:cs="仿宋"/>
          <w:b/>
          <w:bCs/>
          <w:color w:val="000000" w:themeColor="text1"/>
          <w:sz w:val="28"/>
          <w:szCs w:val="28"/>
          <w:lang w:val="en-US" w:eastAsia="zh-CN"/>
          <w14:textFill>
            <w14:solidFill>
              <w14:schemeClr w14:val="tx1"/>
            </w14:solidFill>
          </w14:textFill>
        </w:rPr>
        <w:t>参赛对象</w:t>
      </w:r>
    </w:p>
    <w:p w14:paraId="5500311F">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本次光电设计专项赛诚挚邀请企业、高校、科研院所、个人或设计团队参与。</w:t>
      </w:r>
      <w:r>
        <w:rPr>
          <w:rFonts w:hint="eastAsia" w:ascii="仿宋" w:hAnsi="仿宋" w:eastAsia="仿宋" w:cs="仿宋"/>
          <w:color w:val="000000" w:themeColor="text1"/>
          <w:sz w:val="28"/>
          <w:szCs w:val="28"/>
          <w:lang w:val="en-US" w:eastAsia="zh-CN"/>
          <w14:textFill>
            <w14:solidFill>
              <w14:schemeClr w14:val="tx1"/>
            </w14:solidFill>
          </w14:textFill>
        </w:rPr>
        <w:t>每个</w:t>
      </w:r>
      <w:r>
        <w:rPr>
          <w:rFonts w:hint="eastAsia" w:ascii="仿宋" w:hAnsi="仿宋" w:eastAsia="仿宋" w:cs="仿宋"/>
          <w:color w:val="000000" w:themeColor="text1"/>
          <w:sz w:val="28"/>
          <w:szCs w:val="28"/>
          <w14:textFill>
            <w14:solidFill>
              <w14:schemeClr w14:val="tx1"/>
            </w14:solidFill>
          </w14:textFill>
        </w:rPr>
        <w:t>团队</w:t>
      </w:r>
      <w:r>
        <w:rPr>
          <w:rFonts w:hint="eastAsia" w:ascii="仿宋" w:hAnsi="仿宋" w:eastAsia="仿宋" w:cs="仿宋"/>
          <w:color w:val="000000" w:themeColor="text1"/>
          <w:sz w:val="28"/>
          <w:szCs w:val="28"/>
          <w:lang w:eastAsia="zh-CN"/>
          <w14:textFill>
            <w14:solidFill>
              <w14:schemeClr w14:val="tx1"/>
            </w14:solidFill>
          </w14:textFill>
        </w:rPr>
        <w:t>的</w:t>
      </w:r>
      <w:r>
        <w:rPr>
          <w:rFonts w:hint="eastAsia" w:ascii="仿宋" w:hAnsi="仿宋" w:eastAsia="仿宋" w:cs="仿宋"/>
          <w:color w:val="000000" w:themeColor="text1"/>
          <w:sz w:val="28"/>
          <w:szCs w:val="28"/>
          <w14:textFill>
            <w14:solidFill>
              <w14:schemeClr w14:val="tx1"/>
            </w14:solidFill>
          </w14:textFill>
        </w:rPr>
        <w:t>参赛人数不超过5人</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每个参赛作品必须且只能填报一个明确的类别，同一参赛对象提交的作品总数不得超过</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件。</w:t>
      </w:r>
      <w:r>
        <w:rPr>
          <w:rFonts w:hint="eastAsia" w:ascii="仿宋" w:hAnsi="仿宋" w:eastAsia="仿宋" w:cs="仿宋"/>
          <w:color w:val="000000" w:themeColor="text1"/>
          <w:sz w:val="28"/>
          <w:szCs w:val="28"/>
          <w:lang w:val="en-US" w:eastAsia="zh-CN"/>
          <w14:textFill>
            <w14:solidFill>
              <w14:schemeClr w14:val="tx1"/>
            </w14:solidFill>
          </w14:textFill>
        </w:rPr>
        <w:t>专项赛将</w:t>
      </w:r>
      <w:r>
        <w:rPr>
          <w:rFonts w:hint="eastAsia" w:ascii="仿宋" w:hAnsi="仿宋" w:eastAsia="仿宋" w:cs="仿宋"/>
          <w:color w:val="000000" w:themeColor="text1"/>
          <w:sz w:val="28"/>
          <w:szCs w:val="28"/>
          <w14:textFill>
            <w14:solidFill>
              <w14:schemeClr w14:val="tx1"/>
            </w14:solidFill>
          </w14:textFill>
        </w:rPr>
        <w:t>通过媒体、光学设计类平台等渠道进行广泛宣传推广，为参赛者提供更广阔的展示舞台，带动企业的创新发展，增强企业产品竞争优势。</w:t>
      </w:r>
    </w:p>
    <w:p w14:paraId="064AD404">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p w14:paraId="76E2CC49">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六、作品提交形式</w:t>
      </w:r>
    </w:p>
    <w:p w14:paraId="7E8A1125">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参赛者可根据自己的作品特点，选择适合的组别进行投稿。各组别的具体命题、设计指标和要求将详细公布，以指导参赛者进行针对性创作。</w:t>
      </w:r>
    </w:p>
    <w:p w14:paraId="6CE2CC98">
      <w:pPr>
        <w:spacing w:line="336" w:lineRule="auto"/>
        <w:ind w:firstLine="562" w:firstLineChars="200"/>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一</w:t>
      </w:r>
      <w:r>
        <w:rPr>
          <w:rFonts w:hint="eastAsia" w:ascii="仿宋" w:hAnsi="仿宋" w:eastAsia="仿宋" w:cs="仿宋"/>
          <w:b/>
          <w:bCs/>
          <w:color w:val="000000" w:themeColor="text1"/>
          <w:sz w:val="28"/>
          <w:szCs w:val="28"/>
          <w14:textFill>
            <w14:solidFill>
              <w14:schemeClr w14:val="tx1"/>
            </w14:solidFill>
          </w14:textFill>
        </w:rPr>
        <w:t>）初评</w:t>
      </w:r>
      <w:r>
        <w:rPr>
          <w:rFonts w:hint="eastAsia" w:ascii="仿宋" w:hAnsi="仿宋" w:eastAsia="仿宋" w:cs="仿宋"/>
          <w:b/>
          <w:bCs/>
          <w:color w:val="000000" w:themeColor="text1"/>
          <w:sz w:val="28"/>
          <w:szCs w:val="28"/>
          <w:lang w:val="en-US" w:eastAsia="zh-CN"/>
          <w14:textFill>
            <w14:solidFill>
              <w14:schemeClr w14:val="tx1"/>
            </w14:solidFill>
          </w14:textFill>
        </w:rPr>
        <w:t>提交形式</w:t>
      </w:r>
    </w:p>
    <w:p w14:paraId="65EC40AD">
      <w:pPr>
        <w:spacing w:line="336" w:lineRule="auto"/>
        <w:ind w:firstLine="562"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1.完整填写</w:t>
      </w:r>
      <w:r>
        <w:rPr>
          <w:rFonts w:hint="eastAsia" w:ascii="仿宋" w:hAnsi="仿宋" w:eastAsia="仿宋" w:cs="仿宋"/>
          <w:b/>
          <w:bCs/>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中山市工业设计大赛报名表》</w:t>
      </w:r>
      <w:r>
        <w:rPr>
          <w:rFonts w:hint="eastAsia" w:ascii="仿宋" w:hAnsi="仿宋" w:eastAsia="仿宋" w:cs="仿宋"/>
          <w:color w:val="000000" w:themeColor="text1"/>
          <w:sz w:val="28"/>
          <w:szCs w:val="28"/>
          <w:lang w:eastAsia="zh-CN"/>
          <w14:textFill>
            <w14:solidFill>
              <w14:schemeClr w14:val="tx1"/>
            </w14:solidFill>
          </w14:textFill>
        </w:rPr>
        <w:t>；</w:t>
      </w:r>
    </w:p>
    <w:p w14:paraId="55EAC473">
      <w:pPr>
        <w:spacing w:line="336" w:lineRule="auto"/>
        <w:ind w:firstLine="562" w:firstLineChars="20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2.设计产品图:</w:t>
      </w:r>
      <w:r>
        <w:rPr>
          <w:rFonts w:hint="eastAsia" w:ascii="仿宋" w:hAnsi="仿宋" w:eastAsia="仿宋" w:cs="仿宋"/>
          <w:color w:val="000000" w:themeColor="text1"/>
          <w:sz w:val="28"/>
          <w:szCs w:val="28"/>
          <w:lang w:val="en-US" w:eastAsia="zh-CN"/>
          <w14:textFill>
            <w14:solidFill>
              <w14:schemeClr w14:val="tx1"/>
            </w14:solidFill>
          </w14:textFill>
        </w:rPr>
        <w:t>尺寸为16:9横向排版，使用指定版头竖向排版，精度300DPI展板形式的电子文件，至少1张，最多3张，文件格式为JPG，每张图大小不超过5MB，色彩格式：RGB。</w:t>
      </w:r>
    </w:p>
    <w:p w14:paraId="46DA6E04">
      <w:pPr>
        <w:spacing w:line="336" w:lineRule="auto"/>
        <w:ind w:firstLine="562" w:firstLineChars="200"/>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3.作品内容：</w:t>
      </w:r>
      <w:r>
        <w:rPr>
          <w:rFonts w:hint="eastAsia" w:ascii="仿宋" w:hAnsi="仿宋" w:eastAsia="仿宋" w:cs="仿宋"/>
          <w:b w:val="0"/>
          <w:bCs w:val="0"/>
          <w:color w:val="000000" w:themeColor="text1"/>
          <w:sz w:val="28"/>
          <w:szCs w:val="28"/>
          <w:lang w:val="en-US" w:eastAsia="zh-CN"/>
          <w14:textFill>
            <w14:solidFill>
              <w14:schemeClr w14:val="tx1"/>
            </w14:solidFill>
          </w14:textFill>
        </w:rPr>
        <w:t>须包含作品三维效果图、三视图及尺寸、使用场景及结构细节表现等，并配有必要的文字叙述，表现手法不限。</w:t>
      </w:r>
    </w:p>
    <w:p w14:paraId="5421FCCB">
      <w:pPr>
        <w:spacing w:line="336" w:lineRule="auto"/>
        <w:ind w:firstLine="562"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4</w:t>
      </w:r>
      <w:r>
        <w:rPr>
          <w:rFonts w:hint="eastAsia" w:ascii="仿宋" w:hAnsi="仿宋" w:eastAsia="仿宋" w:cs="仿宋"/>
          <w:b/>
          <w:bCs/>
          <w:color w:val="000000" w:themeColor="text1"/>
          <w:sz w:val="28"/>
          <w:szCs w:val="28"/>
          <w14:textFill>
            <w14:solidFill>
              <w14:schemeClr w14:val="tx1"/>
            </w14:solidFill>
          </w14:textFill>
        </w:rPr>
        <w:t>.作品视频（非必须）</w:t>
      </w:r>
      <w:r>
        <w:rPr>
          <w:rFonts w:hint="eastAsia" w:ascii="仿宋" w:hAnsi="仿宋" w:eastAsia="仿宋" w:cs="仿宋"/>
          <w:color w:val="000000" w:themeColor="text1"/>
          <w:sz w:val="28"/>
          <w:szCs w:val="28"/>
          <w14:textFill>
            <w14:solidFill>
              <w14:schemeClr w14:val="tx1"/>
            </w14:solidFill>
          </w14:textFill>
        </w:rPr>
        <w:t>：提供能详细展示产品设计细节和使用方式的视频（3分钟以内，MP4格式，20M以内）</w:t>
      </w:r>
      <w:r>
        <w:rPr>
          <w:rFonts w:hint="eastAsia" w:ascii="仿宋" w:hAnsi="仿宋" w:eastAsia="仿宋" w:cs="仿宋"/>
          <w:color w:val="000000" w:themeColor="text1"/>
          <w:sz w:val="28"/>
          <w:szCs w:val="28"/>
          <w:lang w:eastAsia="zh-CN"/>
          <w14:textFill>
            <w14:solidFill>
              <w14:schemeClr w14:val="tx1"/>
            </w14:solidFill>
          </w14:textFill>
        </w:rPr>
        <w:t>；</w:t>
      </w:r>
    </w:p>
    <w:p w14:paraId="5668DED5">
      <w:pPr>
        <w:spacing w:line="336" w:lineRule="auto"/>
        <w:ind w:firstLine="562"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5</w:t>
      </w:r>
      <w:r>
        <w:rPr>
          <w:rFonts w:hint="eastAsia" w:ascii="仿宋" w:hAnsi="仿宋" w:eastAsia="仿宋" w:cs="仿宋"/>
          <w:b/>
          <w:bCs/>
          <w:color w:val="000000" w:themeColor="text1"/>
          <w:sz w:val="28"/>
          <w:szCs w:val="28"/>
          <w14:textFill>
            <w14:solidFill>
              <w14:schemeClr w14:val="tx1"/>
            </w14:solidFill>
          </w14:textFill>
        </w:rPr>
        <w:t>.演示文稿（非必须）</w:t>
      </w:r>
      <w:r>
        <w:rPr>
          <w:rFonts w:hint="eastAsia" w:ascii="仿宋" w:hAnsi="仿宋" w:eastAsia="仿宋" w:cs="仿宋"/>
          <w:color w:val="000000" w:themeColor="text1"/>
          <w:sz w:val="28"/>
          <w:szCs w:val="28"/>
          <w14:textFill>
            <w14:solidFill>
              <w14:schemeClr w14:val="tx1"/>
            </w14:solidFill>
          </w14:textFill>
        </w:rPr>
        <w:t>：8页以内的PPT和PDF（PPT以16:9的比例）</w:t>
      </w:r>
      <w:r>
        <w:rPr>
          <w:rFonts w:hint="eastAsia" w:ascii="仿宋" w:hAnsi="仿宋" w:eastAsia="仿宋" w:cs="仿宋"/>
          <w:color w:val="000000" w:themeColor="text1"/>
          <w:sz w:val="28"/>
          <w:szCs w:val="28"/>
          <w:lang w:eastAsia="zh-CN"/>
          <w14:textFill>
            <w14:solidFill>
              <w14:schemeClr w14:val="tx1"/>
            </w14:solidFill>
          </w14:textFill>
        </w:rPr>
        <w:t>；</w:t>
      </w:r>
    </w:p>
    <w:p w14:paraId="1BD76E7B">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6</w:t>
      </w:r>
      <w:r>
        <w:rPr>
          <w:rFonts w:hint="eastAsia" w:ascii="仿宋" w:hAnsi="仿宋" w:eastAsia="仿宋" w:cs="仿宋"/>
          <w:color w:val="000000" w:themeColor="text1"/>
          <w:sz w:val="28"/>
          <w:szCs w:val="28"/>
          <w14:textFill>
            <w14:solidFill>
              <w14:schemeClr w14:val="tx1"/>
            </w14:solidFill>
          </w14:textFill>
        </w:rPr>
        <w:t>.提供作品知识产权归属材料（</w:t>
      </w:r>
      <w:r>
        <w:rPr>
          <w:rFonts w:hint="eastAsia" w:ascii="仿宋" w:hAnsi="仿宋" w:eastAsia="仿宋" w:cs="仿宋"/>
          <w:color w:val="000000" w:themeColor="text1"/>
          <w:sz w:val="28"/>
          <w:szCs w:val="28"/>
          <w:lang w:val="en-US" w:eastAsia="zh-CN"/>
          <w14:textFill>
            <w14:solidFill>
              <w14:schemeClr w14:val="tx1"/>
            </w14:solidFill>
          </w14:textFill>
        </w:rPr>
        <w:t>非必须</w:t>
      </w:r>
      <w:r>
        <w:rPr>
          <w:rFonts w:hint="eastAsia" w:ascii="仿宋" w:hAnsi="仿宋" w:eastAsia="仿宋" w:cs="仿宋"/>
          <w:color w:val="000000" w:themeColor="text1"/>
          <w:sz w:val="28"/>
          <w:szCs w:val="28"/>
          <w14:textFill>
            <w14:solidFill>
              <w14:schemeClr w14:val="tx1"/>
            </w14:solidFill>
          </w14:textFill>
        </w:rPr>
        <w:t>）。</w:t>
      </w:r>
    </w:p>
    <w:p w14:paraId="0573529D">
      <w:pPr>
        <w:spacing w:line="336" w:lineRule="auto"/>
        <w:ind w:firstLine="560" w:firstLineChars="20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7.通过大赛官网下载《2025中山市工业设计大赛火炬高新区“湾区光谷”光电设计专项赛参赛作品承诺书》，签字盖章后回传至系统。</w:t>
      </w:r>
    </w:p>
    <w:p w14:paraId="2C6B167A">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p w14:paraId="2D429DF6">
      <w:pPr>
        <w:spacing w:line="336" w:lineRule="auto"/>
        <w:ind w:firstLine="562" w:firstLineChars="200"/>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二</w:t>
      </w:r>
      <w:r>
        <w:rPr>
          <w:rFonts w:hint="eastAsia" w:ascii="仿宋" w:hAnsi="仿宋" w:eastAsia="仿宋" w:cs="仿宋"/>
          <w:b/>
          <w:bCs/>
          <w:color w:val="000000" w:themeColor="text1"/>
          <w:sz w:val="28"/>
          <w:szCs w:val="28"/>
          <w14:textFill>
            <w14:solidFill>
              <w14:schemeClr w14:val="tx1"/>
            </w14:solidFill>
          </w14:textFill>
        </w:rPr>
        <w:t>）终评</w:t>
      </w:r>
      <w:r>
        <w:rPr>
          <w:rFonts w:hint="eastAsia" w:ascii="仿宋" w:hAnsi="仿宋" w:eastAsia="仿宋" w:cs="仿宋"/>
          <w:b/>
          <w:bCs/>
          <w:color w:val="000000" w:themeColor="text1"/>
          <w:sz w:val="28"/>
          <w:szCs w:val="28"/>
          <w:lang w:val="en-US" w:eastAsia="zh-CN"/>
          <w14:textFill>
            <w14:solidFill>
              <w14:schemeClr w14:val="tx1"/>
            </w14:solidFill>
          </w14:textFill>
        </w:rPr>
        <w:t>提交形式</w:t>
      </w:r>
    </w:p>
    <w:p w14:paraId="38BA2A5C">
      <w:pPr>
        <w:spacing w:line="336" w:lineRule="auto"/>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1.现场或线上路演评审。由实物（包括作品实物、模型或样机等）结合 PPT或视频产品路演介绍</w:t>
      </w:r>
      <w:r>
        <w:rPr>
          <w:rFonts w:hint="eastAsia" w:ascii="仿宋" w:hAnsi="仿宋" w:eastAsia="仿宋" w:cs="仿宋"/>
          <w:color w:val="000000" w:themeColor="text1"/>
          <w:sz w:val="28"/>
          <w:szCs w:val="28"/>
          <w:lang w:eastAsia="zh-CN"/>
          <w14:textFill>
            <w14:solidFill>
              <w14:schemeClr w14:val="tx1"/>
            </w14:solidFill>
          </w14:textFill>
        </w:rPr>
        <w:t>；</w:t>
      </w:r>
    </w:p>
    <w:p w14:paraId="2D1CB2D3">
      <w:pPr>
        <w:spacing w:line="336" w:lineRule="auto"/>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2.参赛</w:t>
      </w:r>
      <w:r>
        <w:rPr>
          <w:rFonts w:hint="eastAsia" w:ascii="仿宋" w:hAnsi="仿宋" w:eastAsia="仿宋" w:cs="仿宋"/>
          <w:color w:val="000000" w:themeColor="text1"/>
          <w:sz w:val="28"/>
          <w:szCs w:val="28"/>
          <w:lang w:val="en-US" w:eastAsia="zh-CN"/>
          <w14:textFill>
            <w14:solidFill>
              <w14:schemeClr w14:val="tx1"/>
            </w14:solidFill>
          </w14:textFill>
        </w:rPr>
        <w:t>者</w:t>
      </w:r>
      <w:r>
        <w:rPr>
          <w:rFonts w:hint="eastAsia" w:ascii="仿宋" w:hAnsi="仿宋" w:eastAsia="仿宋" w:cs="仿宋"/>
          <w:color w:val="000000" w:themeColor="text1"/>
          <w:sz w:val="28"/>
          <w:szCs w:val="28"/>
          <w14:textFill>
            <w14:solidFill>
              <w14:schemeClr w14:val="tx1"/>
            </w14:solidFill>
          </w14:textFill>
        </w:rPr>
        <w:t>需要根据组委会的指示，将作品的实物或模型寄送至组委会指定的评审地点，若未按要求寄达，视为放弃资格</w:t>
      </w:r>
      <w:r>
        <w:rPr>
          <w:rFonts w:hint="eastAsia" w:ascii="仿宋" w:hAnsi="仿宋" w:eastAsia="仿宋" w:cs="仿宋"/>
          <w:color w:val="000000" w:themeColor="text1"/>
          <w:sz w:val="28"/>
          <w:szCs w:val="28"/>
          <w:lang w:eastAsia="zh-CN"/>
          <w14:textFill>
            <w14:solidFill>
              <w14:schemeClr w14:val="tx1"/>
            </w14:solidFill>
          </w14:textFill>
        </w:rPr>
        <w:t>；</w:t>
      </w:r>
    </w:p>
    <w:p w14:paraId="3F1B2FB3">
      <w:pPr>
        <w:spacing w:line="336" w:lineRule="auto"/>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3.产品设计组必须提交实物或等比例可完整体验核心功能的样机或模型</w:t>
      </w:r>
      <w:r>
        <w:rPr>
          <w:rFonts w:hint="eastAsia" w:ascii="仿宋" w:hAnsi="仿宋" w:eastAsia="仿宋" w:cs="仿宋"/>
          <w:color w:val="000000" w:themeColor="text1"/>
          <w:sz w:val="28"/>
          <w:szCs w:val="28"/>
          <w:lang w:eastAsia="zh-CN"/>
          <w14:textFill>
            <w14:solidFill>
              <w14:schemeClr w14:val="tx1"/>
            </w14:solidFill>
          </w14:textFill>
        </w:rPr>
        <w:t>；</w:t>
      </w:r>
    </w:p>
    <w:p w14:paraId="77315FBB">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4.鼓励概念设计组提供可完整展示的样机或数字化模型。</w:t>
      </w:r>
    </w:p>
    <w:p w14:paraId="4F0303C3">
      <w:pPr>
        <w:spacing w:line="336" w:lineRule="auto"/>
        <w:ind w:firstLine="562"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注：为保证大赛的公平公正，</w:t>
      </w:r>
      <w:r>
        <w:rPr>
          <w:rFonts w:hint="eastAsia" w:ascii="仿宋" w:hAnsi="仿宋" w:eastAsia="仿宋" w:cs="仿宋"/>
          <w:b/>
          <w:bCs/>
          <w:color w:val="000000" w:themeColor="text1"/>
          <w:sz w:val="28"/>
          <w:szCs w:val="28"/>
          <w:lang w:val="en-US" w:eastAsia="zh-CN"/>
          <w14:textFill>
            <w14:solidFill>
              <w14:schemeClr w14:val="tx1"/>
            </w14:solidFill>
          </w14:textFill>
        </w:rPr>
        <w:t>以上</w:t>
      </w:r>
      <w:r>
        <w:rPr>
          <w:rFonts w:hint="eastAsia" w:ascii="仿宋" w:hAnsi="仿宋" w:eastAsia="仿宋" w:cs="仿宋"/>
          <w:b/>
          <w:bCs/>
          <w:color w:val="000000" w:themeColor="text1"/>
          <w:sz w:val="28"/>
          <w:szCs w:val="28"/>
          <w14:textFill>
            <w14:solidFill>
              <w14:schemeClr w14:val="tx1"/>
            </w14:solidFill>
          </w14:textFill>
        </w:rPr>
        <w:t>参赛作品的任何部分均不得识别作</w:t>
      </w:r>
      <w:r>
        <w:rPr>
          <w:rFonts w:hint="eastAsia" w:ascii="仿宋" w:hAnsi="仿宋" w:eastAsia="仿宋" w:cs="仿宋"/>
          <w:b/>
          <w:bCs/>
          <w:color w:val="000000" w:themeColor="text1"/>
          <w:sz w:val="28"/>
          <w:szCs w:val="28"/>
          <w:lang w:eastAsia="zh-CN"/>
          <w14:textFill>
            <w14:solidFill>
              <w14:schemeClr w14:val="tx1"/>
            </w14:solidFill>
          </w14:textFill>
        </w:rPr>
        <w:t>者的</w:t>
      </w:r>
      <w:r>
        <w:rPr>
          <w:rFonts w:hint="eastAsia" w:ascii="仿宋" w:hAnsi="仿宋" w:eastAsia="仿宋" w:cs="仿宋"/>
          <w:b/>
          <w:bCs/>
          <w:color w:val="000000" w:themeColor="text1"/>
          <w:sz w:val="28"/>
          <w:szCs w:val="28"/>
          <w14:textFill>
            <w14:solidFill>
              <w14:schemeClr w14:val="tx1"/>
            </w14:solidFill>
          </w14:textFill>
        </w:rPr>
        <w:t>身份信息</w:t>
      </w:r>
      <w:r>
        <w:rPr>
          <w:rFonts w:hint="eastAsia" w:ascii="仿宋" w:hAnsi="仿宋" w:eastAsia="仿宋" w:cs="仿宋"/>
          <w:b/>
          <w:bCs/>
          <w:color w:val="000000" w:themeColor="text1"/>
          <w:sz w:val="28"/>
          <w:szCs w:val="28"/>
          <w:lang w:eastAsia="zh-CN"/>
          <w14:textFill>
            <w14:solidFill>
              <w14:schemeClr w14:val="tx1"/>
            </w14:solidFill>
          </w14:textFill>
        </w:rPr>
        <w:t>，</w:t>
      </w:r>
      <w:r>
        <w:rPr>
          <w:rFonts w:hint="eastAsia" w:ascii="仿宋" w:hAnsi="仿宋" w:eastAsia="仿宋" w:cs="仿宋"/>
          <w:b/>
          <w:bCs/>
          <w:color w:val="000000" w:themeColor="text1"/>
          <w:sz w:val="28"/>
          <w:szCs w:val="28"/>
          <w14:textFill>
            <w14:solidFill>
              <w14:schemeClr w14:val="tx1"/>
            </w14:solidFill>
          </w14:textFill>
        </w:rPr>
        <w:t>包括但不限于作者所属单位、姓名（含英文或拼音缩写）、个人标识、图标或其他相关提示。违反此规定的作品将被视为无效，并取消参赛资格。</w:t>
      </w:r>
    </w:p>
    <w:p w14:paraId="767653AD">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p w14:paraId="571A074F">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七、大赛评审形式</w:t>
      </w:r>
    </w:p>
    <w:p w14:paraId="7BF7F009">
      <w:pPr>
        <w:snapToGrid w:val="0"/>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专项赛</w:t>
      </w:r>
      <w:r>
        <w:rPr>
          <w:rFonts w:hint="eastAsia" w:ascii="仿宋" w:hAnsi="仿宋" w:eastAsia="仿宋" w:cs="仿宋"/>
          <w:color w:val="000000" w:themeColor="text1"/>
          <w:sz w:val="28"/>
          <w:szCs w:val="28"/>
          <w14:textFill>
            <w14:solidFill>
              <w14:schemeClr w14:val="tx1"/>
            </w14:solidFill>
          </w14:textFill>
        </w:rPr>
        <w:t>组委会将邀请各类目相关的行业专家组成评审组，确保专业性和公正性。评审流程采用专项专评的方式进行，终评结果将评选出获奖作品并进行公示。评分标准基于创新性、实用性、品质性、可行性、可持续性和商业性六大核心维度。这些维度分别考察作品的原创度、功能性、制作品质、技术实现以及市场潜力。</w:t>
      </w:r>
    </w:p>
    <w:p w14:paraId="74FD0301">
      <w:pPr>
        <w:snapToGrid w:val="0"/>
        <w:spacing w:line="336" w:lineRule="auto"/>
        <w:rPr>
          <w:rFonts w:hint="eastAsia" w:ascii="仿宋" w:hAnsi="仿宋" w:eastAsia="仿宋" w:cs="仿宋"/>
          <w:b/>
          <w:bCs/>
          <w:color w:val="000000" w:themeColor="text1"/>
          <w:sz w:val="28"/>
          <w:szCs w:val="28"/>
          <w14:textFill>
            <w14:solidFill>
              <w14:schemeClr w14:val="tx1"/>
            </w14:solidFill>
          </w14:textFill>
        </w:rPr>
      </w:pPr>
    </w:p>
    <w:p w14:paraId="1C573492">
      <w:pPr>
        <w:snapToGrid w:val="0"/>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（一）评审标准</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49"/>
        <w:gridCol w:w="4632"/>
      </w:tblGrid>
      <w:tr w14:paraId="516B7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849" w:type="dxa"/>
            <w:noWrap/>
            <w:vAlign w:val="center"/>
          </w:tcPr>
          <w:p w14:paraId="0E30CB66">
            <w:pPr>
              <w:snapToGrid w:val="0"/>
              <w:spacing w:line="336" w:lineRule="auto"/>
              <w:jc w:val="center"/>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产品设计组</w:t>
            </w:r>
          </w:p>
        </w:tc>
        <w:tc>
          <w:tcPr>
            <w:tcW w:w="4632" w:type="dxa"/>
            <w:noWrap/>
            <w:vAlign w:val="center"/>
          </w:tcPr>
          <w:p w14:paraId="1DB70E6C">
            <w:pPr>
              <w:snapToGrid w:val="0"/>
              <w:spacing w:line="336" w:lineRule="auto"/>
              <w:jc w:val="center"/>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概念设计组</w:t>
            </w:r>
          </w:p>
        </w:tc>
      </w:tr>
      <w:tr w14:paraId="5ABD3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9481" w:type="dxa"/>
            <w:gridSpan w:val="2"/>
            <w:noWrap/>
            <w:vAlign w:val="center"/>
          </w:tcPr>
          <w:p w14:paraId="4F65510B">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创新性：</w:t>
            </w:r>
            <w:r>
              <w:rPr>
                <w:rFonts w:hint="eastAsia" w:ascii="仿宋" w:hAnsi="仿宋" w:eastAsia="仿宋" w:cs="仿宋"/>
                <w:color w:val="000000" w:themeColor="text1"/>
                <w:sz w:val="28"/>
                <w:szCs w:val="28"/>
                <w14:textFill>
                  <w14:solidFill>
                    <w14:schemeClr w14:val="tx1"/>
                  </w14:solidFill>
                </w14:textFill>
              </w:rPr>
              <w:t>评估产品在概念、功能、材料、形式、理念等设计方面的创新程度。通过引入新概念，新功能、新材料的使用和创新设计的实现，解决问题或满足用户需求，具有独特的特点和差异化竞争的优势。</w:t>
            </w:r>
          </w:p>
          <w:p w14:paraId="0A4BC294">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p>
        </w:tc>
      </w:tr>
      <w:tr w14:paraId="2B937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jc w:val="center"/>
        </w:trPr>
        <w:tc>
          <w:tcPr>
            <w:tcW w:w="9481" w:type="dxa"/>
            <w:gridSpan w:val="2"/>
            <w:noWrap/>
            <w:vAlign w:val="center"/>
          </w:tcPr>
          <w:p w14:paraId="0824898D">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实用性：</w:t>
            </w:r>
            <w:r>
              <w:rPr>
                <w:rFonts w:hint="eastAsia" w:ascii="仿宋" w:hAnsi="仿宋" w:eastAsia="仿宋" w:cs="仿宋"/>
                <w:color w:val="000000" w:themeColor="text1"/>
                <w:sz w:val="28"/>
                <w:szCs w:val="28"/>
                <w14:textFill>
                  <w14:solidFill>
                    <w14:schemeClr w14:val="tx1"/>
                  </w14:solidFill>
                </w14:textFill>
              </w:rPr>
              <w:t>评估产品的实用性和功能性。重点考察产品是否满足用户需求，操作性是否简便，是否具有良好的人机交互体验，能否在日常生活中广泛应用。</w:t>
            </w:r>
          </w:p>
          <w:p w14:paraId="7F062500">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p>
        </w:tc>
      </w:tr>
      <w:tr w14:paraId="103AD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2" w:hRule="atLeast"/>
          <w:jc w:val="center"/>
        </w:trPr>
        <w:tc>
          <w:tcPr>
            <w:tcW w:w="4849" w:type="dxa"/>
            <w:noWrap/>
            <w:vAlign w:val="center"/>
          </w:tcPr>
          <w:p w14:paraId="5116E1B0">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品质性：</w:t>
            </w:r>
            <w:r>
              <w:rPr>
                <w:rFonts w:hint="eastAsia" w:ascii="仿宋" w:hAnsi="仿宋" w:eastAsia="仿宋" w:cs="仿宋"/>
                <w:color w:val="000000" w:themeColor="text1"/>
                <w:sz w:val="28"/>
                <w:szCs w:val="28"/>
                <w14:textFill>
                  <w14:solidFill>
                    <w14:schemeClr w14:val="tx1"/>
                  </w14:solidFill>
                </w14:textFill>
              </w:rPr>
              <w:t>评估产品的制造质量和工艺水准。包括材料的选择和处理、产品工艺的精细程度、加工技术的先进性，生产效率以及产品整体的耐用性和美观性。</w:t>
            </w:r>
          </w:p>
        </w:tc>
        <w:tc>
          <w:tcPr>
            <w:tcW w:w="4632" w:type="dxa"/>
            <w:noWrap/>
            <w:vAlign w:val="center"/>
          </w:tcPr>
          <w:p w14:paraId="79119DB9">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可行性：</w:t>
            </w:r>
            <w:r>
              <w:rPr>
                <w:rFonts w:hint="eastAsia" w:ascii="仿宋" w:hAnsi="仿宋" w:eastAsia="仿宋" w:cs="仿宋"/>
                <w:color w:val="000000" w:themeColor="text1"/>
                <w:sz w:val="28"/>
                <w:szCs w:val="28"/>
                <w14:textFill>
                  <w14:solidFill>
                    <w14:schemeClr w14:val="tx1"/>
                  </w14:solidFill>
                </w14:textFill>
              </w:rPr>
              <w:t>评估产品从概念到实现的可行性和可实施性。分析技术实现的可能性、制造过程的可操作性以及市场投放的可行性，确保产品能够成功进入市场并获得认可。</w:t>
            </w:r>
          </w:p>
        </w:tc>
      </w:tr>
      <w:tr w14:paraId="02E1C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jc w:val="center"/>
        </w:trPr>
        <w:tc>
          <w:tcPr>
            <w:tcW w:w="9481" w:type="dxa"/>
            <w:gridSpan w:val="2"/>
            <w:noWrap/>
            <w:vAlign w:val="center"/>
          </w:tcPr>
          <w:p w14:paraId="1D0F6D53">
            <w:pPr>
              <w:snapToGrid w:val="0"/>
              <w:spacing w:line="336" w:lineRule="auto"/>
              <w:jc w:val="left"/>
              <w:rPr>
                <w:rFonts w:hint="eastAsia" w:ascii="仿宋" w:hAnsi="仿宋" w:eastAsia="仿宋" w:cs="仿宋"/>
                <w:b/>
                <w:bCs/>
                <w:color w:val="000000" w:themeColor="text1"/>
                <w:sz w:val="28"/>
                <w:szCs w:val="28"/>
                <w14:textFill>
                  <w14:solidFill>
                    <w14:schemeClr w14:val="tx1"/>
                  </w14:solidFill>
                </w14:textFill>
              </w:rPr>
            </w:pPr>
          </w:p>
          <w:p w14:paraId="22A2418D">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可持续性：</w:t>
            </w:r>
            <w:r>
              <w:rPr>
                <w:rFonts w:hint="eastAsia" w:ascii="仿宋" w:hAnsi="仿宋" w:eastAsia="仿宋" w:cs="仿宋"/>
                <w:color w:val="000000" w:themeColor="text1"/>
                <w:sz w:val="28"/>
                <w:szCs w:val="28"/>
                <w14:textFill>
                  <w14:solidFill>
                    <w14:schemeClr w14:val="tx1"/>
                  </w14:solidFill>
                </w14:textFill>
              </w:rPr>
              <w:t>评估产品的环保性和可持续发展特性。包括材料的可回收性、能源效率、降低材料、减少污染、引导正向消费需求，生命周期分析，以及能否促进绿色消费和可持续发展。</w:t>
            </w:r>
          </w:p>
        </w:tc>
      </w:tr>
      <w:tr w14:paraId="1E649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9481" w:type="dxa"/>
            <w:gridSpan w:val="2"/>
            <w:noWrap/>
            <w:vAlign w:val="center"/>
          </w:tcPr>
          <w:p w14:paraId="1EA1F81F">
            <w:pPr>
              <w:snapToGrid w:val="0"/>
              <w:spacing w:line="336" w:lineRule="auto"/>
              <w:jc w:val="left"/>
              <w:rPr>
                <w:rFonts w:hint="eastAsia" w:ascii="仿宋" w:hAnsi="仿宋" w:eastAsia="仿宋" w:cs="仿宋"/>
                <w:b/>
                <w:bCs/>
                <w:color w:val="000000" w:themeColor="text1"/>
                <w:sz w:val="28"/>
                <w:szCs w:val="28"/>
                <w14:textFill>
                  <w14:solidFill>
                    <w14:schemeClr w14:val="tx1"/>
                  </w14:solidFill>
                </w14:textFill>
              </w:rPr>
            </w:pPr>
          </w:p>
          <w:p w14:paraId="36D0E81B">
            <w:pPr>
              <w:snapToGrid w:val="0"/>
              <w:spacing w:line="336" w:lineRule="auto"/>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商业性：</w:t>
            </w:r>
            <w:r>
              <w:rPr>
                <w:rFonts w:hint="eastAsia" w:ascii="仿宋" w:hAnsi="仿宋" w:eastAsia="仿宋" w:cs="仿宋"/>
                <w:color w:val="000000" w:themeColor="text1"/>
                <w:sz w:val="28"/>
                <w:szCs w:val="28"/>
                <w14:textFill>
                  <w14:solidFill>
                    <w14:schemeClr w14:val="tx1"/>
                  </w14:solidFill>
                </w14:textFill>
              </w:rPr>
              <w:t>评估产品的市场竞争力和商业价值。包括分析市场潜力、市场需求和竞争态势，预测产品的市场表现，考虑其是否具有广阔的市场前景和盈利能力。</w:t>
            </w:r>
          </w:p>
        </w:tc>
      </w:tr>
    </w:tbl>
    <w:p w14:paraId="677409CD">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p w14:paraId="2DF9247F">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（二）评审流程</w:t>
      </w:r>
    </w:p>
    <w:p w14:paraId="553D77A3">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eastAsia="仿宋" w:cs="仿宋"/>
          <w:b/>
          <w:bCs/>
          <w:color w:val="000000" w:themeColor="text1"/>
          <w:sz w:val="28"/>
          <w:szCs w:val="28"/>
          <w14:textFill>
            <w14:solidFill>
              <w14:schemeClr w14:val="tx1"/>
            </w14:solidFill>
          </w14:textFill>
        </w:rPr>
        <w:t>.初评</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组织专家评委组，根据参赛者提交的参赛作品进行评审，重点评价作品的形式完整程度，技术创新性可行性等内容。</w:t>
      </w:r>
      <w:r>
        <w:rPr>
          <w:rFonts w:hint="eastAsia" w:ascii="仿宋" w:hAnsi="仿宋" w:eastAsia="仿宋" w:cs="仿宋"/>
          <w:color w:val="000000" w:themeColor="text1"/>
          <w:sz w:val="28"/>
          <w:szCs w:val="28"/>
          <w14:textFill>
            <w14:solidFill>
              <w14:schemeClr w14:val="tx1"/>
            </w14:solidFill>
          </w14:textFill>
        </w:rPr>
        <w:t>产品设计组</w:t>
      </w:r>
      <w:r>
        <w:rPr>
          <w:rFonts w:hint="eastAsia" w:ascii="仿宋" w:hAnsi="仿宋" w:eastAsia="仿宋" w:cs="仿宋"/>
          <w:color w:val="000000" w:themeColor="text1"/>
          <w:sz w:val="28"/>
          <w:szCs w:val="28"/>
          <w:lang w:val="en-US" w:eastAsia="zh-CN"/>
          <w14:textFill>
            <w14:solidFill>
              <w14:schemeClr w14:val="tx1"/>
            </w14:solidFill>
          </w14:textFill>
        </w:rPr>
        <w:t>和</w:t>
      </w:r>
      <w:r>
        <w:rPr>
          <w:rFonts w:hint="eastAsia" w:ascii="仿宋" w:hAnsi="仿宋" w:eastAsia="仿宋" w:cs="仿宋"/>
          <w:color w:val="000000" w:themeColor="text1"/>
          <w:sz w:val="28"/>
          <w:szCs w:val="28"/>
          <w14:textFill>
            <w14:solidFill>
              <w14:schemeClr w14:val="tx1"/>
            </w14:solidFill>
          </w14:textFill>
        </w:rPr>
        <w:t>概念设计组</w:t>
      </w:r>
      <w:r>
        <w:rPr>
          <w:rFonts w:hint="eastAsia" w:ascii="仿宋" w:hAnsi="仿宋" w:eastAsia="仿宋" w:cs="仿宋"/>
          <w:color w:val="000000" w:themeColor="text1"/>
          <w:sz w:val="28"/>
          <w:szCs w:val="28"/>
          <w:lang w:val="en-US" w:eastAsia="zh-CN"/>
          <w14:textFill>
            <w14:solidFill>
              <w14:schemeClr w14:val="tx1"/>
            </w14:solidFill>
          </w14:textFill>
        </w:rPr>
        <w:t>分别筛选出4</w:t>
      </w:r>
      <w:r>
        <w:rPr>
          <w:rFonts w:hint="eastAsia" w:ascii="仿宋" w:hAnsi="仿宋" w:eastAsia="仿宋" w:cs="仿宋"/>
          <w:color w:val="000000" w:themeColor="text1"/>
          <w:sz w:val="28"/>
          <w:szCs w:val="28"/>
          <w14:textFill>
            <w14:solidFill>
              <w14:schemeClr w14:val="tx1"/>
            </w14:solidFill>
          </w14:textFill>
        </w:rPr>
        <w:t>0件</w:t>
      </w:r>
      <w:r>
        <w:rPr>
          <w:rFonts w:hint="eastAsia" w:ascii="仿宋" w:hAnsi="仿宋" w:eastAsia="仿宋" w:cs="仿宋"/>
          <w:color w:val="000000" w:themeColor="text1"/>
          <w:sz w:val="28"/>
          <w:szCs w:val="28"/>
          <w:lang w:val="en-US" w:eastAsia="zh-CN"/>
          <w14:textFill>
            <w14:solidFill>
              <w14:schemeClr w14:val="tx1"/>
            </w14:solidFill>
          </w14:textFill>
        </w:rPr>
        <w:t>和6</w:t>
      </w:r>
      <w:r>
        <w:rPr>
          <w:rFonts w:hint="eastAsia" w:ascii="仿宋" w:hAnsi="仿宋" w:eastAsia="仿宋" w:cs="仿宋"/>
          <w:color w:val="000000" w:themeColor="text1"/>
          <w:sz w:val="28"/>
          <w:szCs w:val="28"/>
          <w14:textFill>
            <w14:solidFill>
              <w14:schemeClr w14:val="tx1"/>
            </w14:solidFill>
          </w14:textFill>
        </w:rPr>
        <w:t>0件</w:t>
      </w:r>
      <w:r>
        <w:rPr>
          <w:rFonts w:hint="eastAsia" w:ascii="仿宋" w:hAnsi="仿宋" w:eastAsia="仿宋" w:cs="仿宋"/>
          <w:color w:val="000000" w:themeColor="text1"/>
          <w:sz w:val="28"/>
          <w:szCs w:val="28"/>
          <w:lang w:val="en-US" w:eastAsia="zh-CN"/>
          <w14:textFill>
            <w14:solidFill>
              <w14:schemeClr w14:val="tx1"/>
            </w14:solidFill>
          </w14:textFill>
        </w:rPr>
        <w:t>作品进入综合复评</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晋级作品数量</w:t>
      </w:r>
      <w:r>
        <w:rPr>
          <w:rFonts w:hint="eastAsia" w:ascii="仿宋" w:hAnsi="仿宋" w:eastAsia="仿宋" w:cs="仿宋"/>
          <w:color w:val="000000" w:themeColor="text1"/>
          <w:sz w:val="28"/>
          <w:szCs w:val="28"/>
          <w14:textFill>
            <w14:solidFill>
              <w14:schemeClr w14:val="tx1"/>
            </w14:solidFill>
          </w14:textFill>
        </w:rPr>
        <w:t>可浮动10%。</w:t>
      </w:r>
    </w:p>
    <w:p w14:paraId="59134D9E">
      <w:pPr>
        <w:spacing w:line="336" w:lineRule="auto"/>
        <w:ind w:firstLine="562" w:firstLineChars="200"/>
        <w:rPr>
          <w:rFonts w:hint="eastAsia" w:ascii="仿宋" w:hAnsi="仿宋" w:eastAsia="仿宋" w:cs="仿宋"/>
          <w:strike w:val="0"/>
          <w:dstrike w:val="0"/>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2.</w:t>
      </w:r>
      <w:r>
        <w:rPr>
          <w:rFonts w:hint="eastAsia" w:ascii="仿宋" w:hAnsi="仿宋" w:eastAsia="仿宋" w:cs="仿宋"/>
          <w:b/>
          <w:bCs/>
          <w:color w:val="000000" w:themeColor="text1"/>
          <w:sz w:val="28"/>
          <w:szCs w:val="28"/>
          <w:lang w:val="en-US" w:eastAsia="zh-CN"/>
          <w14:textFill>
            <w14:solidFill>
              <w14:schemeClr w14:val="tx1"/>
            </w14:solidFill>
          </w14:textFill>
        </w:rPr>
        <w:t>复</w:t>
      </w:r>
      <w:r>
        <w:rPr>
          <w:rFonts w:hint="eastAsia" w:ascii="仿宋" w:hAnsi="仿宋" w:eastAsia="仿宋" w:cs="仿宋"/>
          <w:b/>
          <w:bCs/>
          <w:color w:val="000000" w:themeColor="text1"/>
          <w:sz w:val="28"/>
          <w:szCs w:val="28"/>
          <w14:textFill>
            <w14:solidFill>
              <w14:schemeClr w14:val="tx1"/>
            </w14:solidFill>
          </w14:textFill>
        </w:rPr>
        <w:t>评</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组织专家评委组，采用线下答辩为主，线上答辩为辅的方式，对晋级作品进行集中评审。</w:t>
      </w:r>
      <w:r>
        <w:rPr>
          <w:rFonts w:hint="eastAsia" w:ascii="仿宋" w:hAnsi="仿宋" w:eastAsia="仿宋" w:cs="仿宋"/>
          <w:strike w:val="0"/>
          <w:dstrike w:val="0"/>
          <w:color w:val="000000" w:themeColor="text1"/>
          <w:sz w:val="28"/>
          <w:szCs w:val="28"/>
          <w14:textFill>
            <w14:solidFill>
              <w14:schemeClr w14:val="tx1"/>
            </w14:solidFill>
          </w14:textFill>
        </w:rPr>
        <w:t>参赛者需制作PPT演示文稿或视频路演，深入介绍设计思路、技术细节、市场定位及预期社会经济</w:t>
      </w:r>
      <w:r>
        <w:rPr>
          <w:rFonts w:hint="eastAsia" w:ascii="仿宋" w:hAnsi="仿宋" w:eastAsia="仿宋" w:cs="仿宋"/>
          <w:strike w:val="0"/>
          <w:dstrike w:val="0"/>
          <w:color w:val="000000" w:themeColor="text1"/>
          <w:sz w:val="28"/>
          <w:szCs w:val="28"/>
          <w:lang w:val="en-US" w:eastAsia="zh-CN"/>
          <w14:textFill>
            <w14:solidFill>
              <w14:schemeClr w14:val="tx1"/>
            </w14:solidFill>
          </w14:textFill>
        </w:rPr>
        <w:t>效益</w:t>
      </w:r>
      <w:r>
        <w:rPr>
          <w:rFonts w:hint="eastAsia" w:ascii="仿宋" w:hAnsi="仿宋" w:eastAsia="仿宋" w:cs="仿宋"/>
          <w:strike w:val="0"/>
          <w:dstrike w:val="0"/>
          <w:color w:val="000000" w:themeColor="text1"/>
          <w:sz w:val="28"/>
          <w:szCs w:val="28"/>
          <w:lang w:eastAsia="zh-CN"/>
          <w14:textFill>
            <w14:solidFill>
              <w14:schemeClr w14:val="tx1"/>
            </w14:solidFill>
          </w14:textFill>
        </w:rPr>
        <w:t>，</w:t>
      </w:r>
      <w:r>
        <w:rPr>
          <w:rFonts w:hint="eastAsia" w:ascii="仿宋" w:hAnsi="仿宋" w:eastAsia="仿宋" w:cs="仿宋"/>
          <w:strike w:val="0"/>
          <w:dstrike w:val="0"/>
          <w:color w:val="000000" w:themeColor="text1"/>
          <w:sz w:val="28"/>
          <w:szCs w:val="28"/>
          <w:lang w:val="en-US" w:eastAsia="zh-CN"/>
          <w14:textFill>
            <w14:solidFill>
              <w14:schemeClr w14:val="tx1"/>
            </w14:solidFill>
          </w14:textFill>
        </w:rPr>
        <w:t>由评委组通过打分方式，评出最后结果。</w:t>
      </w:r>
    </w:p>
    <w:p w14:paraId="48929BEA">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p w14:paraId="0C902EA4">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八、表彰和奖励</w:t>
      </w:r>
    </w:p>
    <w:p w14:paraId="7CBE181A">
      <w:pPr>
        <w:spacing w:line="336" w:lineRule="auto"/>
        <w:ind w:firstLine="562"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（一）奖项设置（奖金合计</w:t>
      </w:r>
      <w:r>
        <w:rPr>
          <w:rFonts w:hint="eastAsia" w:ascii="仿宋" w:hAnsi="仿宋" w:eastAsia="仿宋" w:cs="仿宋"/>
          <w:b/>
          <w:bCs/>
          <w:color w:val="000000" w:themeColor="text1"/>
          <w:sz w:val="28"/>
          <w:szCs w:val="28"/>
          <w:lang w:val="en-US" w:eastAsia="zh-CN"/>
          <w14:textFill>
            <w14:solidFill>
              <w14:schemeClr w14:val="tx1"/>
            </w14:solidFill>
          </w14:textFill>
        </w:rPr>
        <w:t>17</w:t>
      </w: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8</w:t>
      </w:r>
      <w:r>
        <w:rPr>
          <w:rFonts w:hint="eastAsia" w:ascii="仿宋" w:hAnsi="仿宋" w:eastAsia="仿宋" w:cs="仿宋"/>
          <w:b/>
          <w:bCs/>
          <w:color w:val="000000" w:themeColor="text1"/>
          <w:sz w:val="28"/>
          <w:szCs w:val="28"/>
          <w14:textFill>
            <w14:solidFill>
              <w14:schemeClr w14:val="tx1"/>
            </w14:solidFill>
          </w14:textFill>
        </w:rPr>
        <w:t>万元）</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546"/>
        <w:gridCol w:w="1136"/>
        <w:gridCol w:w="1445"/>
        <w:gridCol w:w="1139"/>
        <w:gridCol w:w="1139"/>
      </w:tblGrid>
      <w:tr w14:paraId="7D0E6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jc w:val="center"/>
        </w:trPr>
        <w:tc>
          <w:tcPr>
            <w:tcW w:w="1293" w:type="dxa"/>
            <w:vMerge w:val="restart"/>
            <w:noWrap/>
            <w:textDirection w:val="tbRlV"/>
            <w:vAlign w:val="center"/>
          </w:tcPr>
          <w:p w14:paraId="436CB46B">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产品设计组</w:t>
            </w:r>
          </w:p>
        </w:tc>
        <w:tc>
          <w:tcPr>
            <w:tcW w:w="1546" w:type="dxa"/>
            <w:noWrap/>
            <w:vAlign w:val="center"/>
          </w:tcPr>
          <w:p w14:paraId="7F230F4D">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奖项</w:t>
            </w:r>
          </w:p>
        </w:tc>
        <w:tc>
          <w:tcPr>
            <w:tcW w:w="1136" w:type="dxa"/>
            <w:noWrap/>
            <w:vAlign w:val="center"/>
          </w:tcPr>
          <w:p w14:paraId="5D1B5F22">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名额</w:t>
            </w:r>
          </w:p>
        </w:tc>
        <w:tc>
          <w:tcPr>
            <w:tcW w:w="1445" w:type="dxa"/>
            <w:noWrap/>
            <w:vAlign w:val="center"/>
          </w:tcPr>
          <w:p w14:paraId="15270B64">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奖金</w:t>
            </w:r>
          </w:p>
        </w:tc>
        <w:tc>
          <w:tcPr>
            <w:tcW w:w="1139" w:type="dxa"/>
            <w:noWrap/>
            <w:vAlign w:val="center"/>
          </w:tcPr>
          <w:p w14:paraId="4BDE0119">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证书</w:t>
            </w:r>
          </w:p>
        </w:tc>
        <w:tc>
          <w:tcPr>
            <w:tcW w:w="1139" w:type="dxa"/>
            <w:noWrap/>
            <w:vAlign w:val="center"/>
          </w:tcPr>
          <w:p w14:paraId="7077F866">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备注</w:t>
            </w:r>
          </w:p>
        </w:tc>
      </w:tr>
      <w:tr w14:paraId="1C54F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293" w:type="dxa"/>
            <w:vMerge w:val="continue"/>
            <w:noWrap/>
            <w:vAlign w:val="center"/>
          </w:tcPr>
          <w:p w14:paraId="36837984">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46" w:type="dxa"/>
            <w:noWrap/>
            <w:vAlign w:val="center"/>
          </w:tcPr>
          <w:p w14:paraId="476F9455">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金奖</w:t>
            </w:r>
          </w:p>
        </w:tc>
        <w:tc>
          <w:tcPr>
            <w:tcW w:w="1136" w:type="dxa"/>
            <w:noWrap/>
            <w:vAlign w:val="center"/>
          </w:tcPr>
          <w:p w14:paraId="67C9B268">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1名</w:t>
            </w:r>
          </w:p>
        </w:tc>
        <w:tc>
          <w:tcPr>
            <w:tcW w:w="1445" w:type="dxa"/>
            <w:noWrap/>
            <w:vAlign w:val="center"/>
          </w:tcPr>
          <w:p w14:paraId="3A370724">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30000元</w:t>
            </w:r>
          </w:p>
        </w:tc>
        <w:tc>
          <w:tcPr>
            <w:tcW w:w="1139" w:type="dxa"/>
            <w:noWrap/>
            <w:vAlign w:val="center"/>
          </w:tcPr>
          <w:p w14:paraId="0B09297D">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9" w:type="dxa"/>
            <w:noWrap/>
            <w:vAlign w:val="center"/>
          </w:tcPr>
          <w:p w14:paraId="7C88A2DC">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3D17C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1293" w:type="dxa"/>
            <w:vMerge w:val="continue"/>
            <w:noWrap/>
            <w:vAlign w:val="center"/>
          </w:tcPr>
          <w:p w14:paraId="46498DA8">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46" w:type="dxa"/>
            <w:noWrap/>
            <w:vAlign w:val="center"/>
          </w:tcPr>
          <w:p w14:paraId="1F166CB0">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银奖</w:t>
            </w:r>
          </w:p>
        </w:tc>
        <w:tc>
          <w:tcPr>
            <w:tcW w:w="1136" w:type="dxa"/>
            <w:noWrap/>
            <w:vAlign w:val="center"/>
          </w:tcPr>
          <w:p w14:paraId="7B44A70C">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2</w:t>
            </w:r>
            <w:r>
              <w:rPr>
                <w:rFonts w:hint="eastAsia" w:ascii="仿宋" w:hAnsi="仿宋" w:eastAsia="仿宋" w:cs="仿宋"/>
                <w:color w:val="000000" w:themeColor="text1"/>
                <w:kern w:val="2"/>
                <w:sz w:val="28"/>
                <w:szCs w:val="28"/>
                <w14:textFill>
                  <w14:solidFill>
                    <w14:schemeClr w14:val="tx1"/>
                  </w14:solidFill>
                </w14:textFill>
              </w:rPr>
              <w:t>名</w:t>
            </w:r>
          </w:p>
        </w:tc>
        <w:tc>
          <w:tcPr>
            <w:tcW w:w="1445" w:type="dxa"/>
            <w:noWrap/>
            <w:vAlign w:val="center"/>
          </w:tcPr>
          <w:p w14:paraId="7CA95DF7">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1</w:t>
            </w:r>
            <w:r>
              <w:rPr>
                <w:rFonts w:hint="eastAsia" w:ascii="仿宋" w:hAnsi="仿宋" w:eastAsia="仿宋" w:cs="仿宋"/>
                <w:color w:val="000000" w:themeColor="text1"/>
                <w:kern w:val="2"/>
                <w:sz w:val="28"/>
                <w:szCs w:val="28"/>
                <w:lang w:val="en-US" w:eastAsia="zh-CN"/>
                <w14:textFill>
                  <w14:solidFill>
                    <w14:schemeClr w14:val="tx1"/>
                  </w14:solidFill>
                </w14:textFill>
              </w:rPr>
              <w:t>5</w:t>
            </w:r>
            <w:r>
              <w:rPr>
                <w:rFonts w:hint="eastAsia" w:ascii="仿宋" w:hAnsi="仿宋" w:eastAsia="仿宋" w:cs="仿宋"/>
                <w:color w:val="000000" w:themeColor="text1"/>
                <w:kern w:val="2"/>
                <w:sz w:val="28"/>
                <w:szCs w:val="28"/>
                <w14:textFill>
                  <w14:solidFill>
                    <w14:schemeClr w14:val="tx1"/>
                  </w14:solidFill>
                </w14:textFill>
              </w:rPr>
              <w:t>000元</w:t>
            </w:r>
          </w:p>
        </w:tc>
        <w:tc>
          <w:tcPr>
            <w:tcW w:w="1139" w:type="dxa"/>
            <w:noWrap/>
            <w:vAlign w:val="center"/>
          </w:tcPr>
          <w:p w14:paraId="3E01D2DE">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9" w:type="dxa"/>
            <w:noWrap/>
            <w:vAlign w:val="center"/>
          </w:tcPr>
          <w:p w14:paraId="19468B53">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3A2F2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1293" w:type="dxa"/>
            <w:vMerge w:val="continue"/>
            <w:noWrap/>
            <w:vAlign w:val="center"/>
          </w:tcPr>
          <w:p w14:paraId="1C3E711D">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46" w:type="dxa"/>
            <w:noWrap/>
            <w:vAlign w:val="center"/>
          </w:tcPr>
          <w:p w14:paraId="15A675D5">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铜奖</w:t>
            </w:r>
          </w:p>
        </w:tc>
        <w:tc>
          <w:tcPr>
            <w:tcW w:w="1136" w:type="dxa"/>
            <w:noWrap/>
            <w:vAlign w:val="center"/>
          </w:tcPr>
          <w:p w14:paraId="71131F8F">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6</w:t>
            </w:r>
            <w:r>
              <w:rPr>
                <w:rFonts w:hint="eastAsia" w:ascii="仿宋" w:hAnsi="仿宋" w:eastAsia="仿宋" w:cs="仿宋"/>
                <w:color w:val="000000" w:themeColor="text1"/>
                <w:kern w:val="2"/>
                <w:sz w:val="28"/>
                <w:szCs w:val="28"/>
                <w14:textFill>
                  <w14:solidFill>
                    <w14:schemeClr w14:val="tx1"/>
                  </w14:solidFill>
                </w14:textFill>
              </w:rPr>
              <w:t>名</w:t>
            </w:r>
          </w:p>
        </w:tc>
        <w:tc>
          <w:tcPr>
            <w:tcW w:w="1445" w:type="dxa"/>
            <w:noWrap/>
            <w:vAlign w:val="center"/>
          </w:tcPr>
          <w:p w14:paraId="417152DA">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8</w:t>
            </w:r>
            <w:r>
              <w:rPr>
                <w:rFonts w:hint="eastAsia" w:ascii="仿宋" w:hAnsi="仿宋" w:eastAsia="仿宋" w:cs="仿宋"/>
                <w:color w:val="000000" w:themeColor="text1"/>
                <w:kern w:val="2"/>
                <w:sz w:val="28"/>
                <w:szCs w:val="28"/>
                <w14:textFill>
                  <w14:solidFill>
                    <w14:schemeClr w14:val="tx1"/>
                  </w14:solidFill>
                </w14:textFill>
              </w:rPr>
              <w:t>000元</w:t>
            </w:r>
          </w:p>
        </w:tc>
        <w:tc>
          <w:tcPr>
            <w:tcW w:w="1139" w:type="dxa"/>
            <w:noWrap/>
            <w:vAlign w:val="center"/>
          </w:tcPr>
          <w:p w14:paraId="4473B372">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9" w:type="dxa"/>
            <w:noWrap/>
            <w:vAlign w:val="center"/>
          </w:tcPr>
          <w:p w14:paraId="388BDEEE">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6A2CF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1293" w:type="dxa"/>
            <w:vMerge w:val="continue"/>
            <w:noWrap/>
            <w:vAlign w:val="center"/>
          </w:tcPr>
          <w:p w14:paraId="6327588E">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46" w:type="dxa"/>
            <w:noWrap/>
            <w:vAlign w:val="center"/>
          </w:tcPr>
          <w:p w14:paraId="0A53166C">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优秀奖</w:t>
            </w:r>
          </w:p>
        </w:tc>
        <w:tc>
          <w:tcPr>
            <w:tcW w:w="1136" w:type="dxa"/>
            <w:noWrap/>
            <w:vAlign w:val="center"/>
          </w:tcPr>
          <w:p w14:paraId="225AD693">
            <w:pPr>
              <w:pStyle w:val="9"/>
              <w:snapToGrid w:val="0"/>
              <w:spacing w:before="0" w:beforeAutospacing="0" w:after="0" w:afterAutospacing="0" w:line="336" w:lineRule="auto"/>
              <w:jc w:val="center"/>
              <w:rPr>
                <w:rFonts w:hint="default" w:ascii="仿宋" w:hAnsi="仿宋" w:eastAsia="仿宋" w:cs="仿宋"/>
                <w:color w:val="00B050"/>
                <w:kern w:val="2"/>
                <w:sz w:val="28"/>
                <w:szCs w:val="28"/>
                <w:lang w:val="en-US" w:eastAsia="zh-CN"/>
              </w:rPr>
            </w:pPr>
            <w:r>
              <w:rPr>
                <w:rFonts w:hint="eastAsia" w:ascii="仿宋" w:hAnsi="仿宋" w:eastAsia="仿宋" w:cs="仿宋"/>
                <w:color w:val="00B050"/>
                <w:kern w:val="2"/>
                <w:sz w:val="28"/>
                <w:szCs w:val="28"/>
                <w:lang w:val="en-US" w:eastAsia="zh-CN"/>
              </w:rPr>
              <w:t>20名</w:t>
            </w:r>
          </w:p>
        </w:tc>
        <w:tc>
          <w:tcPr>
            <w:tcW w:w="1445" w:type="dxa"/>
            <w:noWrap/>
            <w:vAlign w:val="center"/>
          </w:tcPr>
          <w:p w14:paraId="618F1593">
            <w:pPr>
              <w:pStyle w:val="9"/>
              <w:snapToGrid w:val="0"/>
              <w:spacing w:before="0" w:beforeAutospacing="0" w:after="0" w:afterAutospacing="0" w:line="336" w:lineRule="auto"/>
              <w:jc w:val="center"/>
              <w:rPr>
                <w:rFonts w:hint="eastAsia" w:ascii="仿宋" w:hAnsi="仿宋" w:eastAsia="仿宋" w:cs="仿宋"/>
                <w:color w:val="00B050"/>
                <w:kern w:val="2"/>
                <w:sz w:val="28"/>
                <w:szCs w:val="28"/>
              </w:rPr>
            </w:pPr>
            <w:r>
              <w:rPr>
                <w:rFonts w:hint="eastAsia" w:ascii="仿宋" w:hAnsi="仿宋" w:eastAsia="仿宋" w:cs="仿宋"/>
                <w:color w:val="00B050"/>
                <w:kern w:val="2"/>
                <w:sz w:val="28"/>
                <w:szCs w:val="28"/>
                <w:lang w:val="en-US" w:eastAsia="zh-CN"/>
              </w:rPr>
              <w:t>/</w:t>
            </w:r>
          </w:p>
        </w:tc>
        <w:tc>
          <w:tcPr>
            <w:tcW w:w="1139" w:type="dxa"/>
            <w:noWrap/>
            <w:vAlign w:val="center"/>
          </w:tcPr>
          <w:p w14:paraId="1308645C">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9" w:type="dxa"/>
            <w:noWrap/>
            <w:vAlign w:val="center"/>
          </w:tcPr>
          <w:p w14:paraId="4F00CD73">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1B96C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2839" w:type="dxa"/>
            <w:gridSpan w:val="2"/>
            <w:noWrap/>
            <w:vAlign w:val="center"/>
          </w:tcPr>
          <w:p w14:paraId="7BC26003">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b/>
                <w:bCs/>
                <w:color w:val="000000" w:themeColor="text1"/>
                <w:kern w:val="2"/>
                <w:sz w:val="28"/>
                <w:szCs w:val="28"/>
                <w14:textFill>
                  <w14:solidFill>
                    <w14:schemeClr w14:val="tx1"/>
                  </w14:solidFill>
                </w14:textFill>
              </w:rPr>
              <w:t>合计</w:t>
            </w:r>
          </w:p>
        </w:tc>
        <w:tc>
          <w:tcPr>
            <w:tcW w:w="1136" w:type="dxa"/>
            <w:noWrap/>
            <w:vAlign w:val="center"/>
          </w:tcPr>
          <w:p w14:paraId="1C86710F">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c>
          <w:tcPr>
            <w:tcW w:w="3723" w:type="dxa"/>
            <w:gridSpan w:val="3"/>
            <w:noWrap/>
            <w:vAlign w:val="center"/>
          </w:tcPr>
          <w:p w14:paraId="4A2FF6DE">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b/>
                <w:bCs/>
                <w:color w:val="000000" w:themeColor="text1"/>
                <w:kern w:val="2"/>
                <w:sz w:val="28"/>
                <w:szCs w:val="28"/>
                <w14:textFill>
                  <w14:solidFill>
                    <w14:schemeClr w14:val="tx1"/>
                  </w14:solidFill>
                </w14:textFill>
              </w:rPr>
              <w:t>1</w:t>
            </w:r>
            <w:r>
              <w:rPr>
                <w:rFonts w:hint="eastAsia" w:ascii="仿宋" w:hAnsi="仿宋" w:eastAsia="仿宋" w:cs="仿宋"/>
                <w:b/>
                <w:bCs/>
                <w:color w:val="000000" w:themeColor="text1"/>
                <w:kern w:val="2"/>
                <w:sz w:val="28"/>
                <w:szCs w:val="28"/>
                <w:lang w:val="en-US" w:eastAsia="zh-CN"/>
                <w14:textFill>
                  <w14:solidFill>
                    <w14:schemeClr w14:val="tx1"/>
                  </w14:solidFill>
                </w14:textFill>
              </w:rPr>
              <w:t>08</w:t>
            </w:r>
            <w:r>
              <w:rPr>
                <w:rFonts w:hint="eastAsia" w:ascii="仿宋" w:hAnsi="仿宋" w:eastAsia="仿宋" w:cs="仿宋"/>
                <w:b/>
                <w:bCs/>
                <w:color w:val="000000" w:themeColor="text1"/>
                <w:kern w:val="2"/>
                <w:sz w:val="28"/>
                <w:szCs w:val="28"/>
                <w14:textFill>
                  <w14:solidFill>
                    <w14:schemeClr w14:val="tx1"/>
                  </w14:solidFill>
                </w14:textFill>
              </w:rPr>
              <w:t>000元</w:t>
            </w:r>
          </w:p>
        </w:tc>
      </w:tr>
    </w:tbl>
    <w:p w14:paraId="74050D57">
      <w:pPr>
        <w:spacing w:line="336" w:lineRule="auto"/>
        <w:rPr>
          <w:rFonts w:hint="eastAsia" w:ascii="仿宋" w:hAnsi="仿宋" w:eastAsia="仿宋" w:cs="仿宋"/>
          <w:color w:val="000000" w:themeColor="text1"/>
          <w:sz w:val="28"/>
          <w:szCs w:val="28"/>
          <w14:textFill>
            <w14:solidFill>
              <w14:schemeClr w14:val="tx1"/>
            </w14:solidFill>
          </w14:textFill>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1527"/>
        <w:gridCol w:w="1140"/>
        <w:gridCol w:w="1439"/>
        <w:gridCol w:w="1133"/>
        <w:gridCol w:w="1133"/>
      </w:tblGrid>
      <w:tr w14:paraId="6535B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1286" w:type="dxa"/>
            <w:vMerge w:val="restart"/>
            <w:noWrap/>
            <w:textDirection w:val="tbRlV"/>
            <w:vAlign w:val="center"/>
          </w:tcPr>
          <w:p w14:paraId="0BF200D6">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概念设计组</w:t>
            </w:r>
          </w:p>
        </w:tc>
        <w:tc>
          <w:tcPr>
            <w:tcW w:w="1527" w:type="dxa"/>
            <w:noWrap/>
            <w:vAlign w:val="center"/>
          </w:tcPr>
          <w:p w14:paraId="4FE6F98C">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奖项</w:t>
            </w:r>
          </w:p>
        </w:tc>
        <w:tc>
          <w:tcPr>
            <w:tcW w:w="1140" w:type="dxa"/>
            <w:noWrap/>
            <w:vAlign w:val="center"/>
          </w:tcPr>
          <w:p w14:paraId="2E6655AE">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名额</w:t>
            </w:r>
          </w:p>
        </w:tc>
        <w:tc>
          <w:tcPr>
            <w:tcW w:w="1439" w:type="dxa"/>
            <w:noWrap/>
            <w:vAlign w:val="center"/>
          </w:tcPr>
          <w:p w14:paraId="563AA66A">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奖金</w:t>
            </w:r>
          </w:p>
        </w:tc>
        <w:tc>
          <w:tcPr>
            <w:tcW w:w="1133" w:type="dxa"/>
            <w:noWrap/>
            <w:vAlign w:val="center"/>
          </w:tcPr>
          <w:p w14:paraId="37CE379F">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证书</w:t>
            </w:r>
          </w:p>
        </w:tc>
        <w:tc>
          <w:tcPr>
            <w:tcW w:w="1133" w:type="dxa"/>
            <w:noWrap/>
            <w:vAlign w:val="center"/>
          </w:tcPr>
          <w:p w14:paraId="2B43D19B">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备注</w:t>
            </w:r>
          </w:p>
        </w:tc>
      </w:tr>
      <w:tr w14:paraId="41D63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1286" w:type="dxa"/>
            <w:vMerge w:val="continue"/>
            <w:noWrap/>
          </w:tcPr>
          <w:p w14:paraId="4677C1BF">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27" w:type="dxa"/>
            <w:noWrap/>
            <w:vAlign w:val="center"/>
          </w:tcPr>
          <w:p w14:paraId="385BCF7E">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金奖</w:t>
            </w:r>
          </w:p>
        </w:tc>
        <w:tc>
          <w:tcPr>
            <w:tcW w:w="1140" w:type="dxa"/>
            <w:noWrap/>
            <w:vAlign w:val="center"/>
          </w:tcPr>
          <w:p w14:paraId="0C1571CB">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1名</w:t>
            </w:r>
          </w:p>
        </w:tc>
        <w:tc>
          <w:tcPr>
            <w:tcW w:w="1439" w:type="dxa"/>
            <w:noWrap/>
            <w:vAlign w:val="center"/>
          </w:tcPr>
          <w:p w14:paraId="56E88905">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20000元</w:t>
            </w:r>
          </w:p>
        </w:tc>
        <w:tc>
          <w:tcPr>
            <w:tcW w:w="1133" w:type="dxa"/>
            <w:noWrap/>
            <w:vAlign w:val="center"/>
          </w:tcPr>
          <w:p w14:paraId="11E9D09A">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3" w:type="dxa"/>
            <w:noWrap/>
            <w:vAlign w:val="center"/>
          </w:tcPr>
          <w:p w14:paraId="5A9DBFDB">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0F205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1286" w:type="dxa"/>
            <w:vMerge w:val="continue"/>
            <w:noWrap/>
          </w:tcPr>
          <w:p w14:paraId="2E8EE43C">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27" w:type="dxa"/>
            <w:noWrap/>
            <w:vAlign w:val="center"/>
          </w:tcPr>
          <w:p w14:paraId="0015E9E6">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银奖</w:t>
            </w:r>
          </w:p>
        </w:tc>
        <w:tc>
          <w:tcPr>
            <w:tcW w:w="1140" w:type="dxa"/>
            <w:noWrap/>
            <w:vAlign w:val="center"/>
          </w:tcPr>
          <w:p w14:paraId="652766BD">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2</w:t>
            </w:r>
            <w:r>
              <w:rPr>
                <w:rFonts w:hint="eastAsia" w:ascii="仿宋" w:hAnsi="仿宋" w:eastAsia="仿宋" w:cs="仿宋"/>
                <w:color w:val="000000" w:themeColor="text1"/>
                <w:kern w:val="2"/>
                <w:sz w:val="28"/>
                <w:szCs w:val="28"/>
                <w14:textFill>
                  <w14:solidFill>
                    <w14:schemeClr w14:val="tx1"/>
                  </w14:solidFill>
                </w14:textFill>
              </w:rPr>
              <w:t>名</w:t>
            </w:r>
          </w:p>
        </w:tc>
        <w:tc>
          <w:tcPr>
            <w:tcW w:w="1439" w:type="dxa"/>
            <w:noWrap/>
            <w:vAlign w:val="center"/>
          </w:tcPr>
          <w:p w14:paraId="19163DC4">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10</w:t>
            </w:r>
            <w:r>
              <w:rPr>
                <w:rFonts w:hint="eastAsia" w:ascii="仿宋" w:hAnsi="仿宋" w:eastAsia="仿宋" w:cs="仿宋"/>
                <w:color w:val="000000" w:themeColor="text1"/>
                <w:kern w:val="2"/>
                <w:sz w:val="28"/>
                <w:szCs w:val="28"/>
                <w14:textFill>
                  <w14:solidFill>
                    <w14:schemeClr w14:val="tx1"/>
                  </w14:solidFill>
                </w14:textFill>
              </w:rPr>
              <w:t>000元</w:t>
            </w:r>
          </w:p>
        </w:tc>
        <w:tc>
          <w:tcPr>
            <w:tcW w:w="1133" w:type="dxa"/>
            <w:noWrap/>
            <w:vAlign w:val="center"/>
          </w:tcPr>
          <w:p w14:paraId="5B9B1EB0">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3" w:type="dxa"/>
            <w:noWrap/>
            <w:vAlign w:val="center"/>
          </w:tcPr>
          <w:p w14:paraId="616D80BA">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3145C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1286" w:type="dxa"/>
            <w:vMerge w:val="continue"/>
            <w:noWrap/>
          </w:tcPr>
          <w:p w14:paraId="4CD086E7">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27" w:type="dxa"/>
            <w:noWrap/>
            <w:vAlign w:val="center"/>
          </w:tcPr>
          <w:p w14:paraId="0CBDE976">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铜奖</w:t>
            </w:r>
          </w:p>
        </w:tc>
        <w:tc>
          <w:tcPr>
            <w:tcW w:w="1140" w:type="dxa"/>
            <w:noWrap/>
            <w:vAlign w:val="center"/>
          </w:tcPr>
          <w:p w14:paraId="15B5B023">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6</w:t>
            </w:r>
            <w:r>
              <w:rPr>
                <w:rFonts w:hint="eastAsia" w:ascii="仿宋" w:hAnsi="仿宋" w:eastAsia="仿宋" w:cs="仿宋"/>
                <w:color w:val="000000" w:themeColor="text1"/>
                <w:kern w:val="2"/>
                <w:sz w:val="28"/>
                <w:szCs w:val="28"/>
                <w14:textFill>
                  <w14:solidFill>
                    <w14:schemeClr w14:val="tx1"/>
                  </w14:solidFill>
                </w14:textFill>
              </w:rPr>
              <w:t>名</w:t>
            </w:r>
          </w:p>
        </w:tc>
        <w:tc>
          <w:tcPr>
            <w:tcW w:w="1439" w:type="dxa"/>
            <w:noWrap/>
            <w:vAlign w:val="center"/>
          </w:tcPr>
          <w:p w14:paraId="177618B7">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14:textFill>
                  <w14:solidFill>
                    <w14:schemeClr w14:val="tx1"/>
                  </w14:solidFill>
                </w14:textFill>
              </w:rPr>
              <w:t>5</w:t>
            </w:r>
            <w:r>
              <w:rPr>
                <w:rFonts w:hint="eastAsia" w:ascii="仿宋" w:hAnsi="仿宋" w:eastAsia="仿宋" w:cs="仿宋"/>
                <w:color w:val="000000" w:themeColor="text1"/>
                <w:kern w:val="2"/>
                <w:sz w:val="28"/>
                <w:szCs w:val="28"/>
                <w14:textFill>
                  <w14:solidFill>
                    <w14:schemeClr w14:val="tx1"/>
                  </w14:solidFill>
                </w14:textFill>
              </w:rPr>
              <w:t>000元</w:t>
            </w:r>
          </w:p>
        </w:tc>
        <w:tc>
          <w:tcPr>
            <w:tcW w:w="1133" w:type="dxa"/>
            <w:noWrap/>
            <w:vAlign w:val="center"/>
          </w:tcPr>
          <w:p w14:paraId="52C30C2F">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3" w:type="dxa"/>
            <w:noWrap/>
            <w:vAlign w:val="center"/>
          </w:tcPr>
          <w:p w14:paraId="3D7B36FF">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27A50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1286" w:type="dxa"/>
            <w:vMerge w:val="continue"/>
            <w:noWrap/>
          </w:tcPr>
          <w:p w14:paraId="7592E0DA">
            <w:pPr>
              <w:pStyle w:val="9"/>
              <w:snapToGrid w:val="0"/>
              <w:spacing w:before="0" w:beforeAutospacing="0" w:after="0" w:afterAutospacing="0" w:line="336" w:lineRule="auto"/>
              <w:ind w:firstLine="560" w:firstLineChars="200"/>
              <w:jc w:val="center"/>
              <w:rPr>
                <w:rFonts w:hint="eastAsia" w:ascii="仿宋" w:hAnsi="仿宋" w:eastAsia="仿宋" w:cs="仿宋"/>
                <w:color w:val="000000" w:themeColor="text1"/>
                <w:kern w:val="2"/>
                <w:sz w:val="28"/>
                <w:szCs w:val="28"/>
                <w14:textFill>
                  <w14:solidFill>
                    <w14:schemeClr w14:val="tx1"/>
                  </w14:solidFill>
                </w14:textFill>
              </w:rPr>
            </w:pPr>
          </w:p>
        </w:tc>
        <w:tc>
          <w:tcPr>
            <w:tcW w:w="1527" w:type="dxa"/>
            <w:noWrap/>
            <w:vAlign w:val="center"/>
          </w:tcPr>
          <w:p w14:paraId="7E71A72A">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优秀奖</w:t>
            </w:r>
          </w:p>
        </w:tc>
        <w:tc>
          <w:tcPr>
            <w:tcW w:w="1140" w:type="dxa"/>
            <w:noWrap/>
            <w:vAlign w:val="center"/>
          </w:tcPr>
          <w:p w14:paraId="0ACA9C24">
            <w:pPr>
              <w:pStyle w:val="9"/>
              <w:snapToGrid w:val="0"/>
              <w:spacing w:before="0" w:beforeAutospacing="0" w:after="0" w:afterAutospacing="0" w:line="336" w:lineRule="auto"/>
              <w:jc w:val="center"/>
              <w:rPr>
                <w:rFonts w:hint="default" w:ascii="仿宋" w:hAnsi="仿宋" w:eastAsia="仿宋" w:cs="仿宋"/>
                <w:color w:val="00B050"/>
                <w:kern w:val="2"/>
                <w:sz w:val="28"/>
                <w:szCs w:val="28"/>
                <w:lang w:val="en-US" w:eastAsia="zh-CN"/>
              </w:rPr>
            </w:pPr>
            <w:r>
              <w:rPr>
                <w:rFonts w:hint="eastAsia" w:ascii="仿宋" w:hAnsi="仿宋" w:eastAsia="仿宋" w:cs="仿宋"/>
                <w:color w:val="00B050"/>
                <w:kern w:val="2"/>
                <w:sz w:val="28"/>
                <w:szCs w:val="28"/>
                <w:lang w:val="en-US" w:eastAsia="zh-CN"/>
              </w:rPr>
              <w:t>25名</w:t>
            </w:r>
          </w:p>
        </w:tc>
        <w:tc>
          <w:tcPr>
            <w:tcW w:w="1439" w:type="dxa"/>
            <w:noWrap/>
            <w:vAlign w:val="center"/>
          </w:tcPr>
          <w:p w14:paraId="5A5CF54C">
            <w:pPr>
              <w:pStyle w:val="9"/>
              <w:snapToGrid w:val="0"/>
              <w:spacing w:before="0" w:beforeAutospacing="0" w:after="0" w:afterAutospacing="0" w:line="336" w:lineRule="auto"/>
              <w:jc w:val="center"/>
              <w:rPr>
                <w:rFonts w:hint="eastAsia" w:ascii="仿宋" w:hAnsi="仿宋" w:eastAsia="仿宋" w:cs="仿宋"/>
                <w:color w:val="00B050"/>
                <w:kern w:val="2"/>
                <w:sz w:val="28"/>
                <w:szCs w:val="28"/>
              </w:rPr>
            </w:pPr>
            <w:r>
              <w:rPr>
                <w:rFonts w:hint="eastAsia" w:ascii="仿宋" w:hAnsi="仿宋" w:eastAsia="仿宋" w:cs="仿宋"/>
                <w:color w:val="00B050"/>
                <w:kern w:val="2"/>
                <w:sz w:val="28"/>
                <w:szCs w:val="28"/>
                <w:lang w:val="en-US" w:eastAsia="zh-CN"/>
              </w:rPr>
              <w:t>/</w:t>
            </w:r>
          </w:p>
        </w:tc>
        <w:tc>
          <w:tcPr>
            <w:tcW w:w="1133" w:type="dxa"/>
            <w:noWrap/>
            <w:vAlign w:val="center"/>
          </w:tcPr>
          <w:p w14:paraId="4D0D17ED">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r>
              <w:rPr>
                <w:rFonts w:hint="eastAsia" w:ascii="仿宋" w:hAnsi="仿宋" w:eastAsia="仿宋" w:cs="仿宋"/>
                <w:color w:val="000000" w:themeColor="text1"/>
                <w:kern w:val="2"/>
                <w:sz w:val="28"/>
                <w:szCs w:val="28"/>
                <w14:textFill>
                  <w14:solidFill>
                    <w14:schemeClr w14:val="tx1"/>
                  </w14:solidFill>
                </w14:textFill>
              </w:rPr>
              <w:t>√</w:t>
            </w:r>
          </w:p>
        </w:tc>
        <w:tc>
          <w:tcPr>
            <w:tcW w:w="1133" w:type="dxa"/>
            <w:noWrap/>
            <w:vAlign w:val="center"/>
          </w:tcPr>
          <w:p w14:paraId="38EC9400">
            <w:pPr>
              <w:pStyle w:val="9"/>
              <w:snapToGrid w:val="0"/>
              <w:spacing w:before="0" w:beforeAutospacing="0" w:after="0" w:afterAutospacing="0" w:line="336" w:lineRule="auto"/>
              <w:jc w:val="center"/>
              <w:rPr>
                <w:rFonts w:hint="eastAsia" w:ascii="仿宋" w:hAnsi="仿宋" w:eastAsia="仿宋" w:cs="仿宋"/>
                <w:color w:val="000000" w:themeColor="text1"/>
                <w:kern w:val="2"/>
                <w:sz w:val="28"/>
                <w:szCs w:val="28"/>
                <w14:textFill>
                  <w14:solidFill>
                    <w14:schemeClr w14:val="tx1"/>
                  </w14:solidFill>
                </w14:textFill>
              </w:rPr>
            </w:pPr>
          </w:p>
        </w:tc>
      </w:tr>
      <w:tr w14:paraId="7F617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1" w:hRule="atLeast"/>
          <w:jc w:val="center"/>
        </w:trPr>
        <w:tc>
          <w:tcPr>
            <w:tcW w:w="2813" w:type="dxa"/>
            <w:gridSpan w:val="2"/>
            <w:noWrap/>
            <w:vAlign w:val="center"/>
          </w:tcPr>
          <w:p w14:paraId="4B5CFABE">
            <w:pPr>
              <w:pStyle w:val="9"/>
              <w:snapToGrid w:val="0"/>
              <w:spacing w:before="0" w:beforeAutospacing="0" w:after="0" w:afterAutospacing="0" w:line="336" w:lineRule="auto"/>
              <w:jc w:val="center"/>
              <w:rPr>
                <w:rFonts w:hint="eastAsia" w:ascii="仿宋" w:hAnsi="仿宋" w:eastAsia="仿宋" w:cs="仿宋"/>
                <w:b/>
                <w:bCs/>
                <w:color w:val="000000" w:themeColor="text1"/>
                <w:kern w:val="2"/>
                <w:sz w:val="28"/>
                <w:szCs w:val="28"/>
                <w14:textFill>
                  <w14:solidFill>
                    <w14:schemeClr w14:val="tx1"/>
                  </w14:solidFill>
                </w14:textFill>
              </w:rPr>
            </w:pPr>
            <w:r>
              <w:rPr>
                <w:rFonts w:hint="eastAsia" w:ascii="仿宋" w:hAnsi="仿宋" w:eastAsia="仿宋" w:cs="仿宋"/>
                <w:b/>
                <w:bCs/>
                <w:color w:val="000000" w:themeColor="text1"/>
                <w:kern w:val="2"/>
                <w:sz w:val="28"/>
                <w:szCs w:val="28"/>
                <w14:textFill>
                  <w14:solidFill>
                    <w14:schemeClr w14:val="tx1"/>
                  </w14:solidFill>
                </w14:textFill>
              </w:rPr>
              <w:t>合计</w:t>
            </w:r>
          </w:p>
        </w:tc>
        <w:tc>
          <w:tcPr>
            <w:tcW w:w="1140" w:type="dxa"/>
            <w:noWrap/>
            <w:vAlign w:val="center"/>
          </w:tcPr>
          <w:p w14:paraId="38439EF3">
            <w:pPr>
              <w:pStyle w:val="9"/>
              <w:snapToGrid w:val="0"/>
              <w:spacing w:before="0" w:beforeAutospacing="0" w:after="0" w:afterAutospacing="0" w:line="336" w:lineRule="auto"/>
              <w:jc w:val="center"/>
              <w:rPr>
                <w:rFonts w:hint="eastAsia" w:ascii="仿宋" w:hAnsi="仿宋" w:eastAsia="仿宋" w:cs="仿宋"/>
                <w:b/>
                <w:bCs/>
                <w:color w:val="000000" w:themeColor="text1"/>
                <w:kern w:val="2"/>
                <w:sz w:val="28"/>
                <w:szCs w:val="28"/>
                <w14:textFill>
                  <w14:solidFill>
                    <w14:schemeClr w14:val="tx1"/>
                  </w14:solidFill>
                </w14:textFill>
              </w:rPr>
            </w:pPr>
          </w:p>
        </w:tc>
        <w:tc>
          <w:tcPr>
            <w:tcW w:w="3705" w:type="dxa"/>
            <w:gridSpan w:val="3"/>
            <w:noWrap/>
            <w:vAlign w:val="center"/>
          </w:tcPr>
          <w:p w14:paraId="5425266F">
            <w:pPr>
              <w:pStyle w:val="9"/>
              <w:snapToGrid w:val="0"/>
              <w:spacing w:before="0" w:beforeAutospacing="0" w:after="0" w:afterAutospacing="0" w:line="336" w:lineRule="auto"/>
              <w:jc w:val="center"/>
              <w:rPr>
                <w:rFonts w:hint="eastAsia" w:ascii="仿宋" w:hAnsi="仿宋" w:eastAsia="仿宋" w:cs="仿宋"/>
                <w:b/>
                <w:bCs/>
                <w:color w:val="000000" w:themeColor="text1"/>
                <w:kern w:val="2"/>
                <w:sz w:val="28"/>
                <w:szCs w:val="28"/>
                <w14:textFill>
                  <w14:solidFill>
                    <w14:schemeClr w14:val="tx1"/>
                  </w14:solidFill>
                </w14:textFill>
              </w:rPr>
            </w:pPr>
            <w:r>
              <w:rPr>
                <w:rFonts w:hint="eastAsia" w:ascii="仿宋" w:hAnsi="仿宋" w:eastAsia="仿宋" w:cs="仿宋"/>
                <w:b/>
                <w:bCs/>
                <w:color w:val="000000" w:themeColor="text1"/>
                <w:kern w:val="2"/>
                <w:sz w:val="28"/>
                <w:szCs w:val="28"/>
                <w:lang w:val="en-US" w:eastAsia="zh-CN"/>
                <w14:textFill>
                  <w14:solidFill>
                    <w14:schemeClr w14:val="tx1"/>
                  </w14:solidFill>
                </w14:textFill>
              </w:rPr>
              <w:t>70</w:t>
            </w:r>
            <w:r>
              <w:rPr>
                <w:rFonts w:hint="eastAsia" w:ascii="仿宋" w:hAnsi="仿宋" w:eastAsia="仿宋" w:cs="仿宋"/>
                <w:b/>
                <w:bCs/>
                <w:color w:val="000000" w:themeColor="text1"/>
                <w:kern w:val="2"/>
                <w:sz w:val="28"/>
                <w:szCs w:val="28"/>
                <w14:textFill>
                  <w14:solidFill>
                    <w14:schemeClr w14:val="tx1"/>
                  </w14:solidFill>
                </w14:textFill>
              </w:rPr>
              <w:t>000元</w:t>
            </w:r>
          </w:p>
        </w:tc>
      </w:tr>
    </w:tbl>
    <w:p w14:paraId="41E3F02C">
      <w:pPr>
        <w:pStyle w:val="9"/>
        <w:snapToGrid w:val="0"/>
        <w:spacing w:before="0" w:beforeAutospacing="0" w:after="0" w:afterAutospacing="0" w:line="336" w:lineRule="auto"/>
        <w:jc w:val="both"/>
        <w:rPr>
          <w:rFonts w:hint="eastAsia" w:ascii="仿宋" w:hAnsi="仿宋" w:eastAsia="仿宋" w:cs="仿宋"/>
          <w:color w:val="000000" w:themeColor="text1"/>
          <w:kern w:val="2"/>
          <w:sz w:val="28"/>
          <w:szCs w:val="28"/>
          <w14:textFill>
            <w14:solidFill>
              <w14:schemeClr w14:val="tx1"/>
            </w14:solidFill>
          </w14:textFill>
        </w:rPr>
      </w:pPr>
    </w:p>
    <w:p w14:paraId="7D018BD3">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九、时间安排</w:t>
      </w:r>
    </w:p>
    <w:p w14:paraId="72124AF2">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bookmarkStart w:id="3" w:name="OLE_LINK17"/>
      <w:bookmarkStart w:id="4" w:name="OLE_LINK16"/>
      <w:r>
        <w:rPr>
          <w:rFonts w:hint="eastAsia" w:ascii="仿宋" w:hAnsi="仿宋" w:eastAsia="仿宋" w:cs="仿宋"/>
          <w:color w:val="000000" w:themeColor="text1"/>
          <w:sz w:val="28"/>
          <w:szCs w:val="28"/>
          <w14:textFill>
            <w14:solidFill>
              <w14:schemeClr w14:val="tx1"/>
            </w14:solidFill>
          </w14:textFill>
        </w:rPr>
        <w:t>（一）第一阶段（筹备及启动）</w:t>
      </w:r>
    </w:p>
    <w:p w14:paraId="6F3AA6F4">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lang w:val="en-US" w:eastAsia="zh-CN"/>
          <w14:textFill>
            <w14:solidFill>
              <w14:schemeClr w14:val="tx1"/>
            </w14:solidFill>
          </w14:textFill>
        </w:rPr>
        <w:t>7-8</w:t>
      </w:r>
      <w:r>
        <w:rPr>
          <w:rFonts w:hint="eastAsia" w:ascii="仿宋" w:hAnsi="仿宋" w:eastAsia="仿宋" w:cs="仿宋"/>
          <w:color w:val="000000" w:themeColor="text1"/>
          <w:sz w:val="28"/>
          <w:szCs w:val="28"/>
          <w14:textFill>
            <w14:solidFill>
              <w14:schemeClr w14:val="tx1"/>
            </w14:solidFill>
          </w14:textFill>
        </w:rPr>
        <w:t>月，发布大赛工作方案，确定组织机构、大赛规则、征集通知、启动仪式，明确评审委员会和有关机构。</w:t>
      </w:r>
    </w:p>
    <w:p w14:paraId="4DEEE83E">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（二）第二阶段（大赛宣传与作品征集）</w:t>
      </w:r>
    </w:p>
    <w:p w14:paraId="684F586E">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大赛推广及作品征集：202</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lang w:val="en-US" w:eastAsia="zh-CN"/>
          <w14:textFill>
            <w14:solidFill>
              <w14:schemeClr w14:val="tx1"/>
            </w14:solidFill>
          </w14:textFill>
        </w:rPr>
        <w:t>8</w:t>
      </w:r>
      <w:r>
        <w:rPr>
          <w:rFonts w:hint="eastAsia" w:ascii="仿宋" w:hAnsi="仿宋" w:eastAsia="仿宋" w:cs="仿宋"/>
          <w:color w:val="000000" w:themeColor="text1"/>
          <w:sz w:val="28"/>
          <w:szCs w:val="28"/>
          <w14:textFill>
            <w14:solidFill>
              <w14:schemeClr w14:val="tx1"/>
            </w14:solidFill>
          </w14:textFill>
        </w:rPr>
        <w:t>月至</w:t>
      </w:r>
      <w:r>
        <w:rPr>
          <w:rFonts w:hint="eastAsia" w:ascii="仿宋" w:hAnsi="仿宋" w:eastAsia="仿宋" w:cs="仿宋"/>
          <w:color w:val="000000" w:themeColor="text1"/>
          <w:sz w:val="28"/>
          <w:szCs w:val="28"/>
          <w:lang w:val="en-US" w:eastAsia="zh-CN"/>
          <w14:textFill>
            <w14:solidFill>
              <w14:schemeClr w14:val="tx1"/>
            </w14:solidFill>
          </w14:textFill>
        </w:rPr>
        <w:t>10</w:t>
      </w:r>
      <w:r>
        <w:rPr>
          <w:rFonts w:hint="eastAsia" w:ascii="仿宋" w:hAnsi="仿宋" w:eastAsia="仿宋" w:cs="仿宋"/>
          <w:color w:val="000000" w:themeColor="text1"/>
          <w:sz w:val="28"/>
          <w:szCs w:val="28"/>
          <w14:textFill>
            <w14:solidFill>
              <w14:schemeClr w14:val="tx1"/>
            </w14:solidFill>
          </w14:textFill>
        </w:rPr>
        <w:t>月，开展线上线下宣传征集，通过进企业、进园区、进高校等多种渠道进行大赛的宣传推广，充分利用媒体宣传推广征集优秀作品，提高大赛的知名度和参与度。</w:t>
      </w:r>
    </w:p>
    <w:p w14:paraId="0ADA2807">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（三）第三阶段（作品评审）</w:t>
      </w:r>
    </w:p>
    <w:p w14:paraId="6E7CD004">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1.初评：202</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lang w:val="en-US" w:eastAsia="zh-CN"/>
          <w14:textFill>
            <w14:solidFill>
              <w14:schemeClr w14:val="tx1"/>
            </w14:solidFill>
          </w14:textFill>
        </w:rPr>
        <w:t>11</w:t>
      </w:r>
      <w:r>
        <w:rPr>
          <w:rFonts w:hint="eastAsia" w:ascii="仿宋" w:hAnsi="仿宋" w:eastAsia="仿宋" w:cs="仿宋"/>
          <w:color w:val="000000" w:themeColor="text1"/>
          <w:sz w:val="28"/>
          <w:szCs w:val="28"/>
          <w14:textFill>
            <w14:solidFill>
              <w14:schemeClr w14:val="tx1"/>
            </w14:solidFill>
          </w14:textFill>
        </w:rPr>
        <w:t>月，对参赛作品进行初评，筛选出入围优秀作品，并通报参赛者进入终评环节。</w:t>
      </w:r>
    </w:p>
    <w:p w14:paraId="70956A87">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z w:val="28"/>
          <w:szCs w:val="28"/>
          <w:lang w:val="en-US" w:eastAsia="zh-CN"/>
          <w14:textFill>
            <w14:solidFill>
              <w14:schemeClr w14:val="tx1"/>
            </w14:solidFill>
          </w14:textFill>
        </w:rPr>
        <w:t>终</w:t>
      </w:r>
      <w:r>
        <w:rPr>
          <w:rFonts w:hint="eastAsia" w:ascii="仿宋" w:hAnsi="仿宋" w:eastAsia="仿宋" w:cs="仿宋"/>
          <w:color w:val="000000" w:themeColor="text1"/>
          <w:sz w:val="28"/>
          <w:szCs w:val="28"/>
          <w14:textFill>
            <w14:solidFill>
              <w14:schemeClr w14:val="tx1"/>
            </w14:solidFill>
          </w14:textFill>
        </w:rPr>
        <w:t>评：202</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年1</w:t>
      </w: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lang w:val="en-US" w:eastAsia="zh-CN"/>
          <w14:textFill>
            <w14:solidFill>
              <w14:schemeClr w14:val="tx1"/>
            </w14:solidFill>
          </w14:textFill>
        </w:rPr>
        <w:t>对晋级</w:t>
      </w:r>
      <w:r>
        <w:rPr>
          <w:rFonts w:hint="eastAsia" w:ascii="仿宋" w:hAnsi="仿宋" w:eastAsia="仿宋" w:cs="仿宋"/>
          <w:color w:val="000000" w:themeColor="text1"/>
          <w:sz w:val="28"/>
          <w:szCs w:val="28"/>
          <w14:textFill>
            <w14:solidFill>
              <w14:schemeClr w14:val="tx1"/>
            </w14:solidFill>
          </w14:textFill>
        </w:rPr>
        <w:t>作品进行</w:t>
      </w:r>
      <w:r>
        <w:rPr>
          <w:rFonts w:hint="eastAsia" w:ascii="仿宋" w:hAnsi="仿宋" w:eastAsia="仿宋" w:cs="仿宋"/>
          <w:color w:val="000000" w:themeColor="text1"/>
          <w:sz w:val="28"/>
          <w:szCs w:val="28"/>
          <w:lang w:val="en-US" w:eastAsia="zh-CN"/>
          <w14:textFill>
            <w14:solidFill>
              <w14:schemeClr w14:val="tx1"/>
            </w14:solidFill>
          </w14:textFill>
        </w:rPr>
        <w:t>终</w:t>
      </w:r>
      <w:r>
        <w:rPr>
          <w:rFonts w:hint="eastAsia" w:ascii="仿宋" w:hAnsi="仿宋" w:eastAsia="仿宋" w:cs="仿宋"/>
          <w:color w:val="000000" w:themeColor="text1"/>
          <w:sz w:val="28"/>
          <w:szCs w:val="28"/>
          <w14:textFill>
            <w14:solidFill>
              <w14:schemeClr w14:val="tx1"/>
            </w14:solidFill>
          </w14:textFill>
        </w:rPr>
        <w:t>评，确定获奖作品，并对评奖结果进行公示。</w:t>
      </w:r>
    </w:p>
    <w:p w14:paraId="2A1FBB24">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（四）第四阶段（总结及表彰）</w:t>
      </w:r>
    </w:p>
    <w:p w14:paraId="6A9BBAC0">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年1</w:t>
      </w: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月，总结经验，推荐表彰对象分享，邀请获奖者参加</w:t>
      </w:r>
      <w:r>
        <w:rPr>
          <w:rFonts w:hint="eastAsia" w:ascii="仿宋" w:hAnsi="仿宋" w:eastAsia="仿宋" w:cs="仿宋"/>
          <w:color w:val="000000" w:themeColor="text1"/>
          <w:sz w:val="28"/>
          <w:szCs w:val="28"/>
          <w:lang w:eastAsia="zh-CN"/>
          <w14:textFill>
            <w14:solidFill>
              <w14:schemeClr w14:val="tx1"/>
            </w14:solidFill>
          </w14:textFill>
        </w:rPr>
        <w:t>中山</w:t>
      </w:r>
      <w:r>
        <w:rPr>
          <w:rFonts w:hint="eastAsia" w:ascii="仿宋" w:hAnsi="仿宋" w:eastAsia="仿宋" w:cs="仿宋"/>
          <w:color w:val="000000" w:themeColor="text1"/>
          <w:sz w:val="28"/>
          <w:szCs w:val="28"/>
          <w14:textFill>
            <w14:solidFill>
              <w14:schemeClr w14:val="tx1"/>
            </w14:solidFill>
          </w14:textFill>
        </w:rPr>
        <w:t>市工业设计大赛的颁奖典礼。</w:t>
      </w:r>
    </w:p>
    <w:p w14:paraId="4BC7C722">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p>
    <w:bookmarkEnd w:id="3"/>
    <w:bookmarkEnd w:id="4"/>
    <w:p w14:paraId="276E43B7">
      <w:pPr>
        <w:spacing w:line="336" w:lineRule="auto"/>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十、参赛须知</w:t>
      </w:r>
    </w:p>
    <w:p w14:paraId="0692EC36">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（一）本届赛事作品征集截止前，已在其他地市</w:t>
      </w:r>
      <w:r>
        <w:rPr>
          <w:rFonts w:hint="eastAsia" w:ascii="仿宋" w:hAnsi="仿宋" w:eastAsia="仿宋" w:cs="仿宋"/>
          <w:color w:val="000000" w:themeColor="text1"/>
          <w:sz w:val="28"/>
          <w:szCs w:val="28"/>
          <w:lang w:eastAsia="zh-CN"/>
          <w14:textFill>
            <w14:solidFill>
              <w14:schemeClr w14:val="tx1"/>
            </w14:solidFill>
          </w14:textFill>
        </w:rPr>
        <w:t>参与</w:t>
      </w:r>
      <w:r>
        <w:rPr>
          <w:rFonts w:hint="eastAsia" w:ascii="仿宋" w:hAnsi="仿宋" w:eastAsia="仿宋" w:cs="仿宋"/>
          <w:color w:val="000000" w:themeColor="text1"/>
          <w:sz w:val="28"/>
          <w:szCs w:val="28"/>
          <w14:textFill>
            <w14:solidFill>
              <w14:schemeClr w14:val="tx1"/>
            </w14:solidFill>
          </w14:textFill>
        </w:rPr>
        <w:t>政府举办的工业设计赛事中获铜奖及以上奖项的</w:t>
      </w:r>
      <w:r>
        <w:rPr>
          <w:rFonts w:hint="eastAsia" w:ascii="仿宋" w:hAnsi="仿宋" w:eastAsia="仿宋" w:cs="仿宋"/>
          <w:color w:val="000000" w:themeColor="text1"/>
          <w:sz w:val="28"/>
          <w:szCs w:val="28"/>
          <w:lang w:eastAsia="zh-CN"/>
          <w14:textFill>
            <w14:solidFill>
              <w14:schemeClr w14:val="tx1"/>
            </w14:solidFill>
          </w14:textFill>
        </w:rPr>
        <w:t>概念设计组</w:t>
      </w:r>
      <w:r>
        <w:rPr>
          <w:rFonts w:hint="eastAsia" w:ascii="仿宋" w:hAnsi="仿宋" w:eastAsia="仿宋" w:cs="仿宋"/>
          <w:color w:val="000000" w:themeColor="text1"/>
          <w:sz w:val="28"/>
          <w:szCs w:val="28"/>
          <w14:textFill>
            <w14:solidFill>
              <w14:schemeClr w14:val="tx1"/>
            </w14:solidFill>
          </w14:textFill>
        </w:rPr>
        <w:t>作品不接受重复报名参赛。</w:t>
      </w:r>
    </w:p>
    <w:p w14:paraId="34EFE8E2">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（二）参赛者需登录大赛官方网站http://zs-id.zsnews.cn/（或中山工信微信公众号），注册账号进入系统填写报名信息及作品资料，所有报名信息以线上为准。</w:t>
      </w:r>
    </w:p>
    <w:p w14:paraId="149DAC4D">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（三）本赛事为公益性比赛，参赛选手无须报名费用，但由参赛所产生的物流、保险、清关、差旅等费用由参赛者自理。参加终评的学生选手，可凭学生证</w:t>
      </w:r>
      <w:r>
        <w:rPr>
          <w:rFonts w:hint="eastAsia" w:ascii="仿宋" w:hAnsi="仿宋" w:eastAsia="仿宋" w:cs="仿宋"/>
          <w:color w:val="000000" w:themeColor="text1"/>
          <w:sz w:val="28"/>
          <w:szCs w:val="28"/>
          <w:lang w:eastAsia="zh-CN"/>
          <w14:textFill>
            <w14:solidFill>
              <w14:schemeClr w14:val="tx1"/>
            </w14:solidFill>
          </w14:textFill>
        </w:rPr>
        <w:t>提前向组委会书面申请，经批准后，可</w:t>
      </w:r>
      <w:r>
        <w:rPr>
          <w:rFonts w:hint="eastAsia" w:ascii="仿宋" w:hAnsi="仿宋" w:eastAsia="仿宋" w:cs="仿宋"/>
          <w:color w:val="000000" w:themeColor="text1"/>
          <w:sz w:val="28"/>
          <w:szCs w:val="28"/>
          <w14:textFill>
            <w14:solidFill>
              <w14:schemeClr w14:val="tx1"/>
            </w14:solidFill>
          </w14:textFill>
        </w:rPr>
        <w:t>申请</w:t>
      </w:r>
      <w:r>
        <w:rPr>
          <w:rFonts w:hint="eastAsia" w:ascii="仿宋" w:hAnsi="仿宋" w:eastAsia="仿宋" w:cs="仿宋"/>
          <w:color w:val="000000" w:themeColor="text1"/>
          <w:sz w:val="28"/>
          <w:szCs w:val="28"/>
          <w:lang w:eastAsia="zh-CN"/>
          <w14:textFill>
            <w14:solidFill>
              <w14:schemeClr w14:val="tx1"/>
            </w14:solidFill>
          </w14:textFill>
        </w:rPr>
        <w:t>一次</w:t>
      </w:r>
      <w:r>
        <w:rPr>
          <w:rFonts w:hint="eastAsia" w:ascii="仿宋" w:hAnsi="仿宋" w:eastAsia="仿宋" w:cs="仿宋"/>
          <w:color w:val="000000" w:themeColor="text1"/>
          <w:sz w:val="28"/>
          <w:szCs w:val="28"/>
          <w14:textFill>
            <w14:solidFill>
              <w14:schemeClr w14:val="tx1"/>
            </w14:solidFill>
          </w14:textFill>
        </w:rPr>
        <w:t>报销往返中山的高铁、机票费</w:t>
      </w:r>
      <w:r>
        <w:rPr>
          <w:rFonts w:hint="eastAsia" w:ascii="仿宋" w:hAnsi="仿宋" w:eastAsia="仿宋" w:cs="仿宋"/>
          <w:color w:val="000000" w:themeColor="text1"/>
          <w:sz w:val="28"/>
          <w:szCs w:val="28"/>
          <w:lang w:eastAsia="zh-CN"/>
          <w14:textFill>
            <w14:solidFill>
              <w14:schemeClr w14:val="tx1"/>
            </w14:solidFill>
          </w14:textFill>
        </w:rPr>
        <w:t>或</w:t>
      </w:r>
      <w:r>
        <w:rPr>
          <w:rFonts w:hint="eastAsia" w:ascii="仿宋" w:hAnsi="仿宋" w:eastAsia="仿宋" w:cs="仿宋"/>
          <w:color w:val="000000" w:themeColor="text1"/>
          <w:sz w:val="28"/>
          <w:szCs w:val="28"/>
          <w14:textFill>
            <w14:solidFill>
              <w14:schemeClr w14:val="tx1"/>
            </w14:solidFill>
          </w14:textFill>
        </w:rPr>
        <w:t>住宿费，实报实销</w:t>
      </w:r>
      <w:r>
        <w:rPr>
          <w:rFonts w:hint="eastAsia" w:ascii="仿宋" w:hAnsi="仿宋" w:eastAsia="仿宋" w:cs="仿宋"/>
          <w:color w:val="000000" w:themeColor="text1"/>
          <w:sz w:val="28"/>
          <w:szCs w:val="28"/>
          <w:lang w:eastAsia="zh-CN"/>
          <w14:textFill>
            <w14:solidFill>
              <w14:schemeClr w14:val="tx1"/>
            </w14:solidFill>
          </w14:textFill>
        </w:rPr>
        <w:t>金额不超</w:t>
      </w:r>
      <w:r>
        <w:rPr>
          <w:rFonts w:hint="eastAsia" w:ascii="仿宋" w:hAnsi="仿宋" w:eastAsia="仿宋" w:cs="仿宋"/>
          <w:color w:val="000000" w:themeColor="text1"/>
          <w:sz w:val="28"/>
          <w:szCs w:val="28"/>
          <w:lang w:val="en-US" w:eastAsia="zh-CN"/>
          <w14:textFill>
            <w14:solidFill>
              <w14:schemeClr w14:val="tx1"/>
            </w14:solidFill>
          </w14:textFill>
        </w:rPr>
        <w:t>500元/人</w:t>
      </w:r>
      <w:r>
        <w:rPr>
          <w:rFonts w:hint="eastAsia" w:ascii="仿宋" w:hAnsi="仿宋" w:eastAsia="仿宋" w:cs="仿宋"/>
          <w:color w:val="000000" w:themeColor="text1"/>
          <w:sz w:val="28"/>
          <w:szCs w:val="28"/>
          <w14:textFill>
            <w14:solidFill>
              <w14:schemeClr w14:val="tx1"/>
            </w14:solidFill>
          </w14:textFill>
        </w:rPr>
        <w:t>，超出部分自行承担。</w:t>
      </w:r>
    </w:p>
    <w:p w14:paraId="77A7F5B4">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（四）所有入围终评的参赛者，须按照规定提交报名表原件及与参赛项目直接相关的证明材料，确保其参赛资格的真实有效。</w:t>
      </w:r>
    </w:p>
    <w:p w14:paraId="1942136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120" w:right="120" w:firstLine="280" w:firstLineChars="1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（五）</w:t>
      </w:r>
      <w:r>
        <w:rPr>
          <w:rFonts w:hint="eastAsia" w:ascii="仿宋" w:hAnsi="仿宋" w:eastAsia="仿宋" w:cs="仿宋"/>
          <w:color w:val="000000" w:themeColor="text1"/>
          <w:sz w:val="28"/>
          <w:szCs w:val="28"/>
          <w:lang w:eastAsia="zh-CN"/>
          <w14:textFill>
            <w14:solidFill>
              <w14:schemeClr w14:val="tx1"/>
            </w14:solidFill>
          </w14:textFill>
        </w:rPr>
        <w:t>铜奖及以上的产品组作品及模型将不予退还，由大赛组委会安排长期公开展示或资源对接，</w:t>
      </w:r>
      <w:r>
        <w:rPr>
          <w:rFonts w:hint="eastAsia" w:ascii="仿宋" w:hAnsi="仿宋" w:eastAsia="仿宋" w:cs="仿宋"/>
          <w:color w:val="000000" w:themeColor="text1"/>
          <w:sz w:val="28"/>
          <w:szCs w:val="28"/>
          <w:lang w:val="en-US" w:eastAsia="zh-CN"/>
          <w14:textFill>
            <w14:solidFill>
              <w14:schemeClr w14:val="tx1"/>
            </w14:solidFill>
          </w14:textFill>
        </w:rPr>
        <w:t>获</w:t>
      </w:r>
      <w:r>
        <w:rPr>
          <w:rFonts w:hint="eastAsia" w:ascii="仿宋" w:hAnsi="仿宋" w:eastAsia="仿宋" w:cs="仿宋"/>
          <w:color w:val="000000" w:themeColor="text1"/>
          <w:sz w:val="28"/>
          <w:szCs w:val="28"/>
          <w:lang w:eastAsia="zh-CN"/>
          <w14:textFill>
            <w14:solidFill>
              <w14:schemeClr w14:val="tx1"/>
            </w14:solidFill>
          </w14:textFill>
        </w:rPr>
        <w:t>得铜奖及以上所有</w:t>
      </w:r>
      <w:r>
        <w:rPr>
          <w:rFonts w:hint="eastAsia" w:ascii="仿宋" w:hAnsi="仿宋" w:eastAsia="仿宋" w:cs="仿宋"/>
          <w:color w:val="000000" w:themeColor="text1"/>
          <w:sz w:val="28"/>
          <w:szCs w:val="28"/>
          <w:lang w:val="en-US" w:eastAsia="zh-CN"/>
          <w14:textFill>
            <w14:solidFill>
              <w14:schemeClr w14:val="tx1"/>
            </w14:solidFill>
          </w14:textFill>
        </w:rPr>
        <w:t>作品</w:t>
      </w:r>
      <w:r>
        <w:rPr>
          <w:rFonts w:hint="eastAsia" w:ascii="仿宋" w:hAnsi="仿宋" w:eastAsia="仿宋" w:cs="仿宋"/>
          <w:color w:val="000000" w:themeColor="text1"/>
          <w:sz w:val="28"/>
          <w:szCs w:val="28"/>
          <w:lang w:eastAsia="zh-CN"/>
          <w14:textFill>
            <w14:solidFill>
              <w14:schemeClr w14:val="tx1"/>
            </w14:solidFill>
          </w14:textFill>
        </w:rPr>
        <w:t>并须配合颁奖典礼进行现场展出，以呈现设计理念与创新应用。</w:t>
      </w:r>
      <w:bookmarkStart w:id="5" w:name="_GoBack"/>
      <w:bookmarkEnd w:id="5"/>
    </w:p>
    <w:p w14:paraId="376EA381">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六</w:t>
      </w:r>
      <w:r>
        <w:rPr>
          <w:rFonts w:hint="eastAsia" w:ascii="仿宋" w:hAnsi="仿宋" w:eastAsia="仿宋" w:cs="仿宋"/>
          <w:color w:val="000000" w:themeColor="text1"/>
          <w:sz w:val="28"/>
          <w:szCs w:val="28"/>
          <w14:textFill>
            <w14:solidFill>
              <w14:schemeClr w14:val="tx1"/>
            </w14:solidFill>
          </w14:textFill>
        </w:rPr>
        <w:t>）参赛者需保证提交的作品是原创，若存在侵权、抄袭及违反知识产权的，</w:t>
      </w:r>
      <w:r>
        <w:rPr>
          <w:rFonts w:hint="eastAsia" w:ascii="仿宋" w:hAnsi="仿宋" w:eastAsia="仿宋" w:cs="仿宋"/>
          <w:color w:val="000000" w:themeColor="text1"/>
          <w:sz w:val="28"/>
          <w:szCs w:val="28"/>
          <w:lang w:eastAsia="zh-CN"/>
          <w14:textFill>
            <w14:solidFill>
              <w14:schemeClr w14:val="tx1"/>
            </w14:solidFill>
          </w14:textFill>
        </w:rPr>
        <w:t>经</w:t>
      </w:r>
      <w:r>
        <w:rPr>
          <w:rFonts w:hint="eastAsia" w:ascii="仿宋" w:hAnsi="仿宋" w:eastAsia="仿宋" w:cs="仿宋"/>
          <w:color w:val="000000" w:themeColor="text1"/>
          <w:sz w:val="28"/>
          <w:szCs w:val="28"/>
          <w14:textFill>
            <w14:solidFill>
              <w14:schemeClr w14:val="tx1"/>
            </w14:solidFill>
          </w14:textFill>
        </w:rPr>
        <w:t>组委会核实</w:t>
      </w:r>
      <w:r>
        <w:rPr>
          <w:rFonts w:hint="eastAsia" w:ascii="仿宋" w:hAnsi="仿宋" w:eastAsia="仿宋" w:cs="仿宋"/>
          <w:color w:val="000000" w:themeColor="text1"/>
          <w:sz w:val="28"/>
          <w:szCs w:val="28"/>
          <w:lang w:eastAsia="zh-CN"/>
          <w14:textFill>
            <w14:solidFill>
              <w14:schemeClr w14:val="tx1"/>
            </w14:solidFill>
          </w14:textFill>
        </w:rPr>
        <w:t>将</w:t>
      </w:r>
      <w:r>
        <w:rPr>
          <w:rFonts w:hint="eastAsia" w:ascii="仿宋" w:hAnsi="仿宋" w:eastAsia="仿宋" w:cs="仿宋"/>
          <w:color w:val="000000" w:themeColor="text1"/>
          <w:sz w:val="28"/>
          <w:szCs w:val="28"/>
          <w14:textFill>
            <w14:solidFill>
              <w14:schemeClr w14:val="tx1"/>
            </w14:solidFill>
          </w14:textFill>
        </w:rPr>
        <w:t>取消参赛资格，撤销奖项及收回奖金，</w:t>
      </w:r>
      <w:r>
        <w:rPr>
          <w:rFonts w:hint="eastAsia" w:ascii="仿宋" w:hAnsi="仿宋" w:eastAsia="仿宋" w:cs="仿宋"/>
          <w:color w:val="000000" w:themeColor="text1"/>
          <w:sz w:val="28"/>
          <w:szCs w:val="28"/>
          <w:lang w:eastAsia="zh-CN"/>
          <w14:textFill>
            <w14:solidFill>
              <w14:schemeClr w14:val="tx1"/>
            </w14:solidFill>
          </w14:textFill>
        </w:rPr>
        <w:t>并</w:t>
      </w:r>
      <w:r>
        <w:rPr>
          <w:rFonts w:hint="eastAsia" w:ascii="仿宋" w:hAnsi="仿宋" w:eastAsia="仿宋" w:cs="仿宋"/>
          <w:color w:val="000000" w:themeColor="text1"/>
          <w:sz w:val="28"/>
          <w:szCs w:val="28"/>
          <w14:textFill>
            <w14:solidFill>
              <w14:schemeClr w14:val="tx1"/>
            </w14:solidFill>
          </w14:textFill>
        </w:rPr>
        <w:t>承担全部法律责任。组委会有权在大赛的任何阶段单方面取消参赛及获奖资格，同时不再递补相关奖项。</w:t>
      </w:r>
    </w:p>
    <w:p w14:paraId="3E434BCC">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七</w:t>
      </w:r>
      <w:r>
        <w:rPr>
          <w:rFonts w:hint="eastAsia" w:ascii="仿宋" w:hAnsi="仿宋" w:eastAsia="仿宋" w:cs="仿宋"/>
          <w:color w:val="000000" w:themeColor="text1"/>
          <w:sz w:val="28"/>
          <w:szCs w:val="28"/>
          <w14:textFill>
            <w14:solidFill>
              <w14:schemeClr w14:val="tx1"/>
            </w14:solidFill>
          </w14:textFill>
        </w:rPr>
        <w:t>）入围参赛作品将在大赛官方网站公示，公示期间，社会各界如对参赛作品的参赛资格、知识产权有异议，经组委会办公室核实无误后取消其参赛资格。</w:t>
      </w:r>
    </w:p>
    <w:p w14:paraId="5266BE98">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八</w:t>
      </w:r>
      <w:r>
        <w:rPr>
          <w:rFonts w:hint="eastAsia" w:ascii="仿宋" w:hAnsi="仿宋" w:eastAsia="仿宋" w:cs="仿宋"/>
          <w:color w:val="000000" w:themeColor="text1"/>
          <w:sz w:val="28"/>
          <w:szCs w:val="28"/>
          <w14:textFill>
            <w14:solidFill>
              <w14:schemeClr w14:val="tx1"/>
            </w14:solidFill>
          </w14:textFill>
        </w:rPr>
        <w:t>）对所有参赛作品，大赛组委会享有对作品进行展示、推介或编制获奖作品集进行推广宣传，助力参赛者获得成果落地资源。对参赛作品，除组委会和参赛者（或参赛企业）授权外，任何单位、个人和第三方不得将本次大赛作品进行再设计、生产、销售、宣传、出版、展览及其他形式推广宣传，否则组委会及作者有追究法律责任的权利。</w:t>
      </w:r>
    </w:p>
    <w:p w14:paraId="411A7A24">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九</w:t>
      </w:r>
      <w:r>
        <w:rPr>
          <w:rFonts w:hint="eastAsia" w:ascii="仿宋" w:hAnsi="仿宋" w:eastAsia="仿宋" w:cs="仿宋"/>
          <w:color w:val="000000" w:themeColor="text1"/>
          <w:sz w:val="28"/>
          <w:szCs w:val="28"/>
          <w14:textFill>
            <w14:solidFill>
              <w14:schemeClr w14:val="tx1"/>
            </w14:solidFill>
          </w14:textFill>
        </w:rPr>
        <w:t>）大赛与市内外相关媒体或光</w:t>
      </w:r>
      <w:r>
        <w:rPr>
          <w:rFonts w:hint="eastAsia" w:ascii="仿宋" w:hAnsi="仿宋" w:eastAsia="仿宋" w:cs="仿宋"/>
          <w:color w:val="000000" w:themeColor="text1"/>
          <w:sz w:val="28"/>
          <w:szCs w:val="28"/>
          <w:lang w:val="en-US" w:eastAsia="zh-CN"/>
          <w14:textFill>
            <w14:solidFill>
              <w14:schemeClr w14:val="tx1"/>
            </w14:solidFill>
          </w14:textFill>
        </w:rPr>
        <w:t>电</w:t>
      </w:r>
      <w:r>
        <w:rPr>
          <w:rFonts w:hint="eastAsia" w:ascii="仿宋" w:hAnsi="仿宋" w:eastAsia="仿宋" w:cs="仿宋"/>
          <w:color w:val="000000" w:themeColor="text1"/>
          <w:sz w:val="28"/>
          <w:szCs w:val="28"/>
          <w14:textFill>
            <w14:solidFill>
              <w14:schemeClr w14:val="tx1"/>
            </w14:solidFill>
          </w14:textFill>
        </w:rPr>
        <w:t>方面媒体建立合作关系，对大赛进行全程报道，深度挖掘作品本身及其背后的故事，增强优秀设计者的社会影响力。</w:t>
      </w:r>
    </w:p>
    <w:p w14:paraId="1DAD8B1B">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（十）所有获奖者将受邀参加颁奖盛典系列活动，参赛者可获得与行业精英人士面对面交流的机会。</w:t>
      </w:r>
    </w:p>
    <w:p w14:paraId="1403324B">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w:t>
      </w: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）对未能评出合适的获奖作品，组委会有权搁置相关奖项。</w:t>
      </w:r>
    </w:p>
    <w:p w14:paraId="4D4B0EA1">
      <w:pPr>
        <w:spacing w:line="336" w:lineRule="auto"/>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w:t>
      </w: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）组委会办公室适时制定赛事具体要求、细则和安排并公告，大赛组委会对本次大赛保留最终解释权。</w:t>
      </w:r>
    </w:p>
    <w:p w14:paraId="539126F2">
      <w:pPr>
        <w:ind w:firstLine="560" w:firstLineChars="200"/>
        <w:rPr>
          <w:rFonts w:hint="eastAsia" w:ascii="仿宋" w:hAnsi="仿宋" w:eastAsia="仿宋" w:cs="仿宋"/>
          <w:color w:val="000000" w:themeColor="text1"/>
          <w:sz w:val="28"/>
          <w:szCs w:val="28"/>
          <w14:textFill>
            <w14:solidFill>
              <w14:schemeClr w14:val="tx1"/>
            </w14:solidFill>
          </w14:textFill>
        </w:rPr>
      </w:pPr>
    </w:p>
    <w:p w14:paraId="0996EC3C">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十一、联系方式</w:t>
      </w:r>
    </w:p>
    <w:p w14:paraId="377D2B88">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（一）参赛咨询</w:t>
      </w:r>
    </w:p>
    <w:p w14:paraId="6D342D6A">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联系人：吴小姐、阮先生</w:t>
      </w:r>
    </w:p>
    <w:p w14:paraId="7AACC6CA">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办公电话：0760-85339575</w:t>
      </w:r>
    </w:p>
    <w:p w14:paraId="2484A120">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联系电话：15918207859、19129151509</w:t>
      </w:r>
    </w:p>
    <w:p w14:paraId="632BD23F">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（二）问题反馈</w:t>
      </w:r>
    </w:p>
    <w:p w14:paraId="16A42C69">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中山市工业和信息化局</w:t>
      </w:r>
    </w:p>
    <w:p w14:paraId="4B57B4E9">
      <w:pPr>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联系电话：0760-88306740</w:t>
      </w:r>
    </w:p>
    <w:p w14:paraId="7327328A">
      <w:pPr>
        <w:rPr>
          <w:rFonts w:ascii="仿宋" w:hAnsi="仿宋" w:eastAsia="仿宋" w:cs="宋体"/>
          <w:b/>
          <w:color w:val="000000"/>
          <w:sz w:val="28"/>
          <w:szCs w:val="28"/>
        </w:rPr>
      </w:pPr>
    </w:p>
    <w:sectPr>
      <w:footerReference r:id="rId3" w:type="default"/>
      <w:footerReference r:id="rId4" w:type="even"/>
      <w:pgSz w:w="11906" w:h="16838"/>
      <w:pgMar w:top="851" w:right="646" w:bottom="898" w:left="11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2308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11</w:t>
    </w:r>
    <w:r>
      <w:fldChar w:fldCharType="end"/>
    </w:r>
  </w:p>
  <w:p w14:paraId="3E59348C">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7F192">
    <w:pPr>
      <w:pStyle w:val="7"/>
      <w:framePr w:wrap="around" w:vAnchor="text" w:hAnchor="margin" w:xAlign="center" w:y="1"/>
      <w:rPr>
        <w:rStyle w:val="13"/>
      </w:rPr>
    </w:pPr>
    <w:r>
      <w:fldChar w:fldCharType="begin"/>
    </w:r>
    <w:r>
      <w:rPr>
        <w:rStyle w:val="13"/>
      </w:rPr>
      <w:instrText xml:space="preserve">PAGE  </w:instrText>
    </w:r>
    <w:r>
      <w:fldChar w:fldCharType="end"/>
    </w:r>
  </w:p>
  <w:p w14:paraId="746A9433">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86px;height:86px" o:bullet="t">
        <v:imagedata r:id="rId1" o:title=""/>
      </v:shape>
    </w:pict>
  </w:numPicBullet>
  <w:abstractNum w:abstractNumId="0">
    <w:nsid w:val="5DE72161"/>
    <w:multiLevelType w:val="multilevel"/>
    <w:tmpl w:val="5DE72161"/>
    <w:lvl w:ilvl="0" w:tentative="0">
      <w:start w:val="1"/>
      <w:numFmt w:val="bullet"/>
      <w:lvlText w:val=""/>
      <w:lvlPicBulletId w:val="0"/>
      <w:lvlJc w:val="left"/>
      <w:pPr>
        <w:tabs>
          <w:tab w:val="left" w:pos="0"/>
        </w:tabs>
        <w:ind w:left="0" w:firstLine="0"/>
      </w:pPr>
      <w:rPr>
        <w:rFonts w:hint="default" w:ascii="Symbol" w:hAnsi="Symbol"/>
      </w:rPr>
    </w:lvl>
    <w:lvl w:ilvl="1" w:tentative="0">
      <w:start w:val="1"/>
      <w:numFmt w:val="bullet"/>
      <w:lvlText w:val=""/>
      <w:lvlJc w:val="left"/>
      <w:pPr>
        <w:tabs>
          <w:tab w:val="left" w:pos="420"/>
        </w:tabs>
        <w:ind w:left="420" w:firstLine="0"/>
      </w:pPr>
      <w:rPr>
        <w:rFonts w:hint="default" w:ascii="Symbol" w:hAnsi="Symbol"/>
      </w:rPr>
    </w:lvl>
    <w:lvl w:ilvl="2" w:tentative="0">
      <w:start w:val="1"/>
      <w:numFmt w:val="bullet"/>
      <w:lvlText w:val=""/>
      <w:lvlJc w:val="left"/>
      <w:pPr>
        <w:tabs>
          <w:tab w:val="left" w:pos="840"/>
        </w:tabs>
        <w:ind w:left="840" w:firstLine="0"/>
      </w:pPr>
      <w:rPr>
        <w:rFonts w:hint="default" w:ascii="Symbol" w:hAnsi="Symbol"/>
      </w:rPr>
    </w:lvl>
    <w:lvl w:ilvl="3" w:tentative="0">
      <w:start w:val="1"/>
      <w:numFmt w:val="bullet"/>
      <w:lvlText w:val=""/>
      <w:lvlJc w:val="left"/>
      <w:pPr>
        <w:tabs>
          <w:tab w:val="left" w:pos="1260"/>
        </w:tabs>
        <w:ind w:left="1260" w:firstLine="0"/>
      </w:pPr>
      <w:rPr>
        <w:rFonts w:hint="default" w:ascii="Symbol" w:hAnsi="Symbol"/>
      </w:rPr>
    </w:lvl>
    <w:lvl w:ilvl="4" w:tentative="0">
      <w:start w:val="1"/>
      <w:numFmt w:val="bullet"/>
      <w:lvlText w:val=""/>
      <w:lvlJc w:val="left"/>
      <w:pPr>
        <w:tabs>
          <w:tab w:val="left" w:pos="1680"/>
        </w:tabs>
        <w:ind w:left="1680" w:firstLine="0"/>
      </w:pPr>
      <w:rPr>
        <w:rFonts w:hint="default" w:ascii="Symbol" w:hAnsi="Symbol"/>
      </w:rPr>
    </w:lvl>
    <w:lvl w:ilvl="5" w:tentative="0">
      <w:start w:val="1"/>
      <w:numFmt w:val="bullet"/>
      <w:lvlText w:val=""/>
      <w:lvlJc w:val="left"/>
      <w:pPr>
        <w:tabs>
          <w:tab w:val="left" w:pos="2100"/>
        </w:tabs>
        <w:ind w:left="2100" w:firstLine="0"/>
      </w:pPr>
      <w:rPr>
        <w:rFonts w:hint="default" w:ascii="Symbol" w:hAnsi="Symbol"/>
      </w:rPr>
    </w:lvl>
    <w:lvl w:ilvl="6" w:tentative="0">
      <w:start w:val="1"/>
      <w:numFmt w:val="bullet"/>
      <w:lvlText w:val=""/>
      <w:lvlJc w:val="left"/>
      <w:pPr>
        <w:tabs>
          <w:tab w:val="left" w:pos="2520"/>
        </w:tabs>
        <w:ind w:left="2520" w:firstLine="0"/>
      </w:pPr>
      <w:rPr>
        <w:rFonts w:hint="default" w:ascii="Symbol" w:hAnsi="Symbol"/>
      </w:rPr>
    </w:lvl>
    <w:lvl w:ilvl="7" w:tentative="0">
      <w:start w:val="1"/>
      <w:numFmt w:val="bullet"/>
      <w:lvlText w:val=""/>
      <w:lvlJc w:val="left"/>
      <w:pPr>
        <w:tabs>
          <w:tab w:val="left" w:pos="2940"/>
        </w:tabs>
        <w:ind w:left="2940" w:firstLine="0"/>
      </w:pPr>
      <w:rPr>
        <w:rFonts w:hint="default" w:ascii="Symbol" w:hAnsi="Symbol"/>
      </w:rPr>
    </w:lvl>
    <w:lvl w:ilvl="8" w:tentative="0">
      <w:start w:val="1"/>
      <w:numFmt w:val="bullet"/>
      <w:lvlText w:val=""/>
      <w:lvlJc w:val="left"/>
      <w:pPr>
        <w:tabs>
          <w:tab w:val="left" w:pos="3360"/>
        </w:tabs>
        <w:ind w:left="3360" w:firstLine="0"/>
      </w:pPr>
      <w:rPr>
        <w:rFonts w:hint="default"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mZTdjN2E1ODlmYzg5ODFmOThmMDcwNmRiMjgxNjcifQ=="/>
  </w:docVars>
  <w:rsids>
    <w:rsidRoot w:val="00172A27"/>
    <w:rsid w:val="000010C8"/>
    <w:rsid w:val="000139B1"/>
    <w:rsid w:val="00025615"/>
    <w:rsid w:val="00046CA0"/>
    <w:rsid w:val="0004762B"/>
    <w:rsid w:val="000748B2"/>
    <w:rsid w:val="00076F3E"/>
    <w:rsid w:val="00082409"/>
    <w:rsid w:val="00084FE9"/>
    <w:rsid w:val="000912F4"/>
    <w:rsid w:val="00091DFE"/>
    <w:rsid w:val="0009439B"/>
    <w:rsid w:val="00097B3A"/>
    <w:rsid w:val="000A5F56"/>
    <w:rsid w:val="000A6698"/>
    <w:rsid w:val="000B2F7B"/>
    <w:rsid w:val="000C276C"/>
    <w:rsid w:val="000D64E1"/>
    <w:rsid w:val="000E7C07"/>
    <w:rsid w:val="000F1AD8"/>
    <w:rsid w:val="000F504E"/>
    <w:rsid w:val="000F7730"/>
    <w:rsid w:val="000F792F"/>
    <w:rsid w:val="00114DCB"/>
    <w:rsid w:val="00121801"/>
    <w:rsid w:val="00121F7A"/>
    <w:rsid w:val="00122ECE"/>
    <w:rsid w:val="0012664A"/>
    <w:rsid w:val="00126AB0"/>
    <w:rsid w:val="00150722"/>
    <w:rsid w:val="001634B0"/>
    <w:rsid w:val="00167630"/>
    <w:rsid w:val="00170DD7"/>
    <w:rsid w:val="00172A27"/>
    <w:rsid w:val="00177733"/>
    <w:rsid w:val="001A1C29"/>
    <w:rsid w:val="001A4DFF"/>
    <w:rsid w:val="001B6B8A"/>
    <w:rsid w:val="001B7A54"/>
    <w:rsid w:val="001D73DD"/>
    <w:rsid w:val="001E25E3"/>
    <w:rsid w:val="00200D64"/>
    <w:rsid w:val="00213866"/>
    <w:rsid w:val="002645BF"/>
    <w:rsid w:val="00267E9B"/>
    <w:rsid w:val="002807C4"/>
    <w:rsid w:val="00282CA8"/>
    <w:rsid w:val="0028622D"/>
    <w:rsid w:val="00286BF5"/>
    <w:rsid w:val="00287EF6"/>
    <w:rsid w:val="002934BB"/>
    <w:rsid w:val="00297131"/>
    <w:rsid w:val="002A4A7F"/>
    <w:rsid w:val="002B2F63"/>
    <w:rsid w:val="002B592B"/>
    <w:rsid w:val="002D028B"/>
    <w:rsid w:val="002D31D9"/>
    <w:rsid w:val="002E00C7"/>
    <w:rsid w:val="002E3EC0"/>
    <w:rsid w:val="002F68A2"/>
    <w:rsid w:val="003000C9"/>
    <w:rsid w:val="00306FDE"/>
    <w:rsid w:val="00324D8D"/>
    <w:rsid w:val="0032541A"/>
    <w:rsid w:val="00326A68"/>
    <w:rsid w:val="00337063"/>
    <w:rsid w:val="00371087"/>
    <w:rsid w:val="00381315"/>
    <w:rsid w:val="00395298"/>
    <w:rsid w:val="003D0052"/>
    <w:rsid w:val="003D126F"/>
    <w:rsid w:val="003E0530"/>
    <w:rsid w:val="003E62A4"/>
    <w:rsid w:val="00400FF8"/>
    <w:rsid w:val="00407639"/>
    <w:rsid w:val="0042202C"/>
    <w:rsid w:val="004220B6"/>
    <w:rsid w:val="00427CE4"/>
    <w:rsid w:val="00433B17"/>
    <w:rsid w:val="0044271D"/>
    <w:rsid w:val="00457246"/>
    <w:rsid w:val="00474F98"/>
    <w:rsid w:val="00491263"/>
    <w:rsid w:val="00494772"/>
    <w:rsid w:val="004D22B2"/>
    <w:rsid w:val="004D416D"/>
    <w:rsid w:val="004D5BDC"/>
    <w:rsid w:val="004E3AE4"/>
    <w:rsid w:val="004E42E3"/>
    <w:rsid w:val="004E51D7"/>
    <w:rsid w:val="004F16B7"/>
    <w:rsid w:val="004F38BC"/>
    <w:rsid w:val="004F6368"/>
    <w:rsid w:val="004F6453"/>
    <w:rsid w:val="00505A1D"/>
    <w:rsid w:val="00506A06"/>
    <w:rsid w:val="005078E8"/>
    <w:rsid w:val="00524042"/>
    <w:rsid w:val="00534F0F"/>
    <w:rsid w:val="00561614"/>
    <w:rsid w:val="0056781C"/>
    <w:rsid w:val="00571C59"/>
    <w:rsid w:val="00576604"/>
    <w:rsid w:val="0057798E"/>
    <w:rsid w:val="005A1133"/>
    <w:rsid w:val="005B335D"/>
    <w:rsid w:val="005B444D"/>
    <w:rsid w:val="005C6D2B"/>
    <w:rsid w:val="00600AFC"/>
    <w:rsid w:val="00607426"/>
    <w:rsid w:val="00620BB7"/>
    <w:rsid w:val="00622E7A"/>
    <w:rsid w:val="00630A8B"/>
    <w:rsid w:val="006478B6"/>
    <w:rsid w:val="00653CDB"/>
    <w:rsid w:val="00654B09"/>
    <w:rsid w:val="0066559B"/>
    <w:rsid w:val="006661FD"/>
    <w:rsid w:val="00670EC5"/>
    <w:rsid w:val="006A7085"/>
    <w:rsid w:val="006A7CE5"/>
    <w:rsid w:val="006B491C"/>
    <w:rsid w:val="006B5561"/>
    <w:rsid w:val="006B5A08"/>
    <w:rsid w:val="006C1543"/>
    <w:rsid w:val="006C2166"/>
    <w:rsid w:val="006C2F24"/>
    <w:rsid w:val="006C7E82"/>
    <w:rsid w:val="006E183B"/>
    <w:rsid w:val="006E686D"/>
    <w:rsid w:val="007028CE"/>
    <w:rsid w:val="00733585"/>
    <w:rsid w:val="00742C14"/>
    <w:rsid w:val="00757CF2"/>
    <w:rsid w:val="00761C1F"/>
    <w:rsid w:val="00765171"/>
    <w:rsid w:val="00770733"/>
    <w:rsid w:val="00777A18"/>
    <w:rsid w:val="00787BC2"/>
    <w:rsid w:val="007912B8"/>
    <w:rsid w:val="007961EB"/>
    <w:rsid w:val="007A0166"/>
    <w:rsid w:val="007B4070"/>
    <w:rsid w:val="007E37DC"/>
    <w:rsid w:val="007F1FFA"/>
    <w:rsid w:val="00811686"/>
    <w:rsid w:val="008166CF"/>
    <w:rsid w:val="008225F5"/>
    <w:rsid w:val="00825740"/>
    <w:rsid w:val="00834B03"/>
    <w:rsid w:val="0084286F"/>
    <w:rsid w:val="008508DC"/>
    <w:rsid w:val="00864444"/>
    <w:rsid w:val="00883EB4"/>
    <w:rsid w:val="00886F80"/>
    <w:rsid w:val="00894B83"/>
    <w:rsid w:val="008A5B20"/>
    <w:rsid w:val="008B1324"/>
    <w:rsid w:val="008C17FD"/>
    <w:rsid w:val="008C5366"/>
    <w:rsid w:val="008D43D2"/>
    <w:rsid w:val="008F0365"/>
    <w:rsid w:val="008F4556"/>
    <w:rsid w:val="008F773C"/>
    <w:rsid w:val="009119D0"/>
    <w:rsid w:val="00913D5D"/>
    <w:rsid w:val="00916266"/>
    <w:rsid w:val="009326D0"/>
    <w:rsid w:val="00933877"/>
    <w:rsid w:val="00952E0B"/>
    <w:rsid w:val="00957295"/>
    <w:rsid w:val="0096037E"/>
    <w:rsid w:val="009709BF"/>
    <w:rsid w:val="009A42C0"/>
    <w:rsid w:val="009A449B"/>
    <w:rsid w:val="009B1E46"/>
    <w:rsid w:val="009C60DA"/>
    <w:rsid w:val="009D6AA7"/>
    <w:rsid w:val="009D75E0"/>
    <w:rsid w:val="009E7228"/>
    <w:rsid w:val="009F0208"/>
    <w:rsid w:val="009F39B0"/>
    <w:rsid w:val="009F6CDD"/>
    <w:rsid w:val="00A16296"/>
    <w:rsid w:val="00A24D7E"/>
    <w:rsid w:val="00A27301"/>
    <w:rsid w:val="00A5465E"/>
    <w:rsid w:val="00A64022"/>
    <w:rsid w:val="00A67E9C"/>
    <w:rsid w:val="00A76C4D"/>
    <w:rsid w:val="00A913C3"/>
    <w:rsid w:val="00A929DB"/>
    <w:rsid w:val="00A96674"/>
    <w:rsid w:val="00A9687B"/>
    <w:rsid w:val="00AA1D29"/>
    <w:rsid w:val="00AF229D"/>
    <w:rsid w:val="00B25B38"/>
    <w:rsid w:val="00B41465"/>
    <w:rsid w:val="00B45218"/>
    <w:rsid w:val="00B748E3"/>
    <w:rsid w:val="00B96676"/>
    <w:rsid w:val="00BA4299"/>
    <w:rsid w:val="00BA447B"/>
    <w:rsid w:val="00BA6F0B"/>
    <w:rsid w:val="00BB053A"/>
    <w:rsid w:val="00BB5CC4"/>
    <w:rsid w:val="00BE40B4"/>
    <w:rsid w:val="00BE6745"/>
    <w:rsid w:val="00BF4957"/>
    <w:rsid w:val="00C02734"/>
    <w:rsid w:val="00C077A8"/>
    <w:rsid w:val="00C23701"/>
    <w:rsid w:val="00C350EE"/>
    <w:rsid w:val="00C525FE"/>
    <w:rsid w:val="00C61051"/>
    <w:rsid w:val="00C672D4"/>
    <w:rsid w:val="00C67EFD"/>
    <w:rsid w:val="00C760BF"/>
    <w:rsid w:val="00C806CF"/>
    <w:rsid w:val="00C853F9"/>
    <w:rsid w:val="00C9181F"/>
    <w:rsid w:val="00C94C5D"/>
    <w:rsid w:val="00C95DC1"/>
    <w:rsid w:val="00CA1C44"/>
    <w:rsid w:val="00CA551C"/>
    <w:rsid w:val="00CB3C6F"/>
    <w:rsid w:val="00CB58F1"/>
    <w:rsid w:val="00CC1DFD"/>
    <w:rsid w:val="00CD4347"/>
    <w:rsid w:val="00D115C1"/>
    <w:rsid w:val="00D16A07"/>
    <w:rsid w:val="00D3596F"/>
    <w:rsid w:val="00D46892"/>
    <w:rsid w:val="00D53E7E"/>
    <w:rsid w:val="00D61F7C"/>
    <w:rsid w:val="00D84003"/>
    <w:rsid w:val="00D868F1"/>
    <w:rsid w:val="00D872A0"/>
    <w:rsid w:val="00D91AC7"/>
    <w:rsid w:val="00DA15D9"/>
    <w:rsid w:val="00DD23BF"/>
    <w:rsid w:val="00DF476A"/>
    <w:rsid w:val="00E02AE3"/>
    <w:rsid w:val="00E135EF"/>
    <w:rsid w:val="00E366B8"/>
    <w:rsid w:val="00E420AF"/>
    <w:rsid w:val="00E45E30"/>
    <w:rsid w:val="00E476EC"/>
    <w:rsid w:val="00E6384D"/>
    <w:rsid w:val="00E638EC"/>
    <w:rsid w:val="00E659FA"/>
    <w:rsid w:val="00E67106"/>
    <w:rsid w:val="00E73D51"/>
    <w:rsid w:val="00E856C9"/>
    <w:rsid w:val="00E92D2C"/>
    <w:rsid w:val="00EB069E"/>
    <w:rsid w:val="00EC11AB"/>
    <w:rsid w:val="00EE295C"/>
    <w:rsid w:val="00F05FE4"/>
    <w:rsid w:val="00F21D34"/>
    <w:rsid w:val="00F22F57"/>
    <w:rsid w:val="00F55F58"/>
    <w:rsid w:val="00F6394F"/>
    <w:rsid w:val="00F74014"/>
    <w:rsid w:val="00F747FB"/>
    <w:rsid w:val="00F8540D"/>
    <w:rsid w:val="00FA0466"/>
    <w:rsid w:val="00FA703D"/>
    <w:rsid w:val="00FB3B8C"/>
    <w:rsid w:val="00FE2B2F"/>
    <w:rsid w:val="00FE306A"/>
    <w:rsid w:val="01F1364C"/>
    <w:rsid w:val="03521E6E"/>
    <w:rsid w:val="047D34C5"/>
    <w:rsid w:val="06066A65"/>
    <w:rsid w:val="0B1664AA"/>
    <w:rsid w:val="0C0621C9"/>
    <w:rsid w:val="0C0E3D32"/>
    <w:rsid w:val="0C7A4464"/>
    <w:rsid w:val="0CB41A4E"/>
    <w:rsid w:val="0DB65C33"/>
    <w:rsid w:val="10121858"/>
    <w:rsid w:val="119C46EC"/>
    <w:rsid w:val="146B5391"/>
    <w:rsid w:val="17306175"/>
    <w:rsid w:val="177118DD"/>
    <w:rsid w:val="1A827FD5"/>
    <w:rsid w:val="1B3F1AA6"/>
    <w:rsid w:val="1DAA6D26"/>
    <w:rsid w:val="1EFA5E72"/>
    <w:rsid w:val="1FAC6992"/>
    <w:rsid w:val="1FBA396A"/>
    <w:rsid w:val="2392443F"/>
    <w:rsid w:val="23C713BA"/>
    <w:rsid w:val="24EF7670"/>
    <w:rsid w:val="2A005E08"/>
    <w:rsid w:val="2A1C3ADF"/>
    <w:rsid w:val="311250B7"/>
    <w:rsid w:val="31BD7458"/>
    <w:rsid w:val="322F554F"/>
    <w:rsid w:val="38873B4C"/>
    <w:rsid w:val="3B4B0783"/>
    <w:rsid w:val="3C2109FD"/>
    <w:rsid w:val="3F06558A"/>
    <w:rsid w:val="42984D74"/>
    <w:rsid w:val="42C1394B"/>
    <w:rsid w:val="42C24895"/>
    <w:rsid w:val="42E676EC"/>
    <w:rsid w:val="45695003"/>
    <w:rsid w:val="47FD3465"/>
    <w:rsid w:val="493E4C80"/>
    <w:rsid w:val="4A2D028B"/>
    <w:rsid w:val="4AC67A4E"/>
    <w:rsid w:val="4AFB4296"/>
    <w:rsid w:val="4E0F66A5"/>
    <w:rsid w:val="4E9E171E"/>
    <w:rsid w:val="503540D6"/>
    <w:rsid w:val="508C657E"/>
    <w:rsid w:val="52593F7C"/>
    <w:rsid w:val="53AC0EDA"/>
    <w:rsid w:val="54B76CEF"/>
    <w:rsid w:val="551A465C"/>
    <w:rsid w:val="568D48D7"/>
    <w:rsid w:val="57990C47"/>
    <w:rsid w:val="57D930C0"/>
    <w:rsid w:val="591C0C52"/>
    <w:rsid w:val="596107BF"/>
    <w:rsid w:val="59BB5797"/>
    <w:rsid w:val="5D0C704A"/>
    <w:rsid w:val="5D1F6922"/>
    <w:rsid w:val="5D457FAA"/>
    <w:rsid w:val="5F836B44"/>
    <w:rsid w:val="5FB40F84"/>
    <w:rsid w:val="607D59E8"/>
    <w:rsid w:val="626B3309"/>
    <w:rsid w:val="636A49BF"/>
    <w:rsid w:val="666A6AE3"/>
    <w:rsid w:val="6AAC3849"/>
    <w:rsid w:val="6B1055E5"/>
    <w:rsid w:val="6EB90967"/>
    <w:rsid w:val="70FB5C18"/>
    <w:rsid w:val="746C0E1B"/>
    <w:rsid w:val="754807F1"/>
    <w:rsid w:val="765E32DA"/>
    <w:rsid w:val="7B840887"/>
    <w:rsid w:val="7E762BF0"/>
    <w:rsid w:val="DBE3A8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link w:val="16"/>
    <w:unhideWhenUsed/>
    <w:qFormat/>
    <w:uiPriority w:val="99"/>
    <w:pPr>
      <w:keepNext/>
      <w:keepLines/>
      <w:widowControl/>
      <w:spacing w:before="280" w:after="290" w:line="376" w:lineRule="auto"/>
      <w:outlineLvl w:val="3"/>
    </w:pPr>
    <w:rPr>
      <w:rFonts w:ascii="Cambria" w:hAnsi="Cambria"/>
      <w:b/>
      <w:bCs/>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asciiTheme="minorHAnsi" w:hAnsiTheme="minorHAnsi" w:eastAsiaTheme="minorEastAsia" w:cstheme="minorBidi"/>
    </w:rPr>
  </w:style>
  <w:style w:type="paragraph" w:styleId="4">
    <w:name w:val="Body Text Indent"/>
    <w:basedOn w:val="1"/>
    <w:link w:val="18"/>
    <w:unhideWhenUsed/>
    <w:qFormat/>
    <w:uiPriority w:val="99"/>
    <w:pPr>
      <w:spacing w:after="120"/>
      <w:ind w:left="420" w:leftChars="200"/>
    </w:pPr>
    <w:rPr>
      <w:rFonts w:asciiTheme="minorHAnsi" w:hAnsiTheme="minorHAnsi" w:eastAsiaTheme="minorEastAsia" w:cstheme="minorBidi"/>
    </w:rPr>
  </w:style>
  <w:style w:type="paragraph" w:styleId="5">
    <w:name w:val="Date"/>
    <w:basedOn w:val="1"/>
    <w:next w:val="1"/>
    <w:link w:val="17"/>
    <w:qFormat/>
    <w:uiPriority w:val="0"/>
    <w:pPr>
      <w:ind w:left="100" w:leftChars="2500"/>
    </w:pPr>
  </w:style>
  <w:style w:type="paragraph" w:styleId="6">
    <w:name w:val="Balloon Text"/>
    <w:basedOn w:val="1"/>
    <w:link w:val="19"/>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qFormat/>
    <w:uiPriority w:val="0"/>
    <w:rPr>
      <w:rFonts w:cs="Times New Roman"/>
    </w:rPr>
  </w:style>
  <w:style w:type="character" w:styleId="14">
    <w:name w:val="Hyperlink"/>
    <w:basedOn w:val="12"/>
    <w:unhideWhenUsed/>
    <w:qFormat/>
    <w:uiPriority w:val="99"/>
    <w:rPr>
      <w:color w:val="0000FF"/>
      <w:u w:val="single"/>
    </w:rPr>
  </w:style>
  <w:style w:type="character" w:customStyle="1" w:styleId="15">
    <w:name w:val="页眉 Char"/>
    <w:link w:val="8"/>
    <w:qFormat/>
    <w:uiPriority w:val="0"/>
    <w:rPr>
      <w:rFonts w:ascii="Calibri" w:hAnsi="Calibri"/>
      <w:kern w:val="2"/>
      <w:sz w:val="18"/>
      <w:szCs w:val="18"/>
    </w:rPr>
  </w:style>
  <w:style w:type="character" w:customStyle="1" w:styleId="16">
    <w:name w:val="标题 4 Char"/>
    <w:basedOn w:val="12"/>
    <w:link w:val="2"/>
    <w:qFormat/>
    <w:uiPriority w:val="99"/>
    <w:rPr>
      <w:rFonts w:ascii="Cambria" w:hAnsi="Cambria" w:eastAsia="宋体" w:cs="Times New Roman"/>
      <w:b/>
      <w:bCs/>
      <w:kern w:val="2"/>
      <w:sz w:val="28"/>
      <w:szCs w:val="28"/>
    </w:rPr>
  </w:style>
  <w:style w:type="character" w:customStyle="1" w:styleId="17">
    <w:name w:val="日期 Char"/>
    <w:basedOn w:val="12"/>
    <w:link w:val="5"/>
    <w:qFormat/>
    <w:uiPriority w:val="0"/>
    <w:rPr>
      <w:rFonts w:ascii="Calibri" w:hAnsi="Calibri"/>
      <w:kern w:val="2"/>
      <w:sz w:val="21"/>
      <w:szCs w:val="24"/>
    </w:rPr>
  </w:style>
  <w:style w:type="character" w:customStyle="1" w:styleId="18">
    <w:name w:val="正文文本缩进 Char"/>
    <w:basedOn w:val="12"/>
    <w:link w:val="4"/>
    <w:qFormat/>
    <w:uiPriority w:val="99"/>
    <w:rPr>
      <w:rFonts w:asciiTheme="minorHAnsi" w:hAnsiTheme="minorHAnsi" w:eastAsiaTheme="minorEastAsia" w:cstheme="minorBidi"/>
      <w:kern w:val="2"/>
      <w:sz w:val="21"/>
      <w:szCs w:val="24"/>
    </w:rPr>
  </w:style>
  <w:style w:type="character" w:customStyle="1" w:styleId="19">
    <w:name w:val="批注框文本 Char"/>
    <w:basedOn w:val="12"/>
    <w:link w:val="6"/>
    <w:qFormat/>
    <w:uiPriority w:val="0"/>
    <w:rPr>
      <w:rFonts w:ascii="Calibri" w:hAnsi="Calibri"/>
      <w:kern w:val="2"/>
      <w:sz w:val="18"/>
      <w:szCs w:val="18"/>
    </w:rPr>
  </w:style>
  <w:style w:type="paragraph"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3899</Words>
  <Characters>4091</Characters>
  <Lines>34</Lines>
  <Paragraphs>9</Paragraphs>
  <TotalTime>22</TotalTime>
  <ScaleCrop>false</ScaleCrop>
  <LinksUpToDate>false</LinksUpToDate>
  <CharactersWithSpaces>4093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2024-08-14T17:45:00Z</dcterms:created>
  <dc:creator>lenovo</dc:creator>
  <cp:lastModifiedBy>凤</cp:lastModifiedBy>
  <cp:lastPrinted>2024-08-14T14:59:00Z</cp:lastPrinted>
  <dcterms:modified xsi:type="dcterms:W3CDTF">2025-08-22T06:45:34Z</dcterms:modified>
  <dc:title>区经科局将采购三方面的服务的费用清单</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9B041776248B43A7ADED6CCB7FC20BA5_13</vt:lpwstr>
  </property>
  <property fmtid="{D5CDD505-2E9C-101B-9397-08002B2CF9AE}" pid="4" name="KSOTemplateDocerSaveRecord">
    <vt:lpwstr>eyJoZGlkIjoiMWNmYmY3NWVlM2NlZWE5NTYzMzJmZmExZTJlZDlmOWMiLCJ1c2VySWQiOiI3MjI0MzQ5MjYifQ==</vt:lpwstr>
  </property>
</Properties>
</file>