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1448" w:tblpY="1194"/>
        <w:tblOverlap w:val="never"/>
        <w:tblW w:w="9007" w:type="dxa"/>
        <w:tblInd w:w="0" w:type="dxa"/>
        <w:tblLayout w:type="fixed"/>
        <w:tblCellMar>
          <w:top w:w="0" w:type="dxa"/>
          <w:left w:w="108" w:type="dxa"/>
          <w:bottom w:w="0" w:type="dxa"/>
          <w:right w:w="108" w:type="dxa"/>
        </w:tblCellMar>
      </w:tblPr>
      <w:tblGrid>
        <w:gridCol w:w="1300"/>
        <w:gridCol w:w="7707"/>
      </w:tblGrid>
      <w:tr w14:paraId="74272E4A">
        <w:tblPrEx>
          <w:tblCellMar>
            <w:top w:w="0" w:type="dxa"/>
            <w:left w:w="108" w:type="dxa"/>
            <w:bottom w:w="0" w:type="dxa"/>
            <w:right w:w="108" w:type="dxa"/>
          </w:tblCellMar>
        </w:tblPrEx>
        <w:trPr>
          <w:trHeight w:val="1350" w:hRule="exact"/>
        </w:trPr>
        <w:tc>
          <w:tcPr>
            <w:tcW w:w="1300" w:type="dxa"/>
            <w:tcMar>
              <w:left w:w="0" w:type="dxa"/>
              <w:right w:w="0" w:type="dxa"/>
            </w:tcMar>
          </w:tcPr>
          <w:p w14:paraId="27C0582B">
            <w:pPr>
              <w:widowControl/>
              <w:autoSpaceDE w:val="0"/>
              <w:autoSpaceDN w:val="0"/>
              <w:ind w:right="54"/>
              <w:jc w:val="right"/>
            </w:pPr>
            <w:r>
              <w:drawing>
                <wp:inline distT="0" distB="0" distL="114300" distR="114300">
                  <wp:extent cx="729615" cy="729615"/>
                  <wp:effectExtent l="19050" t="0" r="0" b="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4"/>
                          <a:stretch>
                            <a:fillRect/>
                          </a:stretch>
                        </pic:blipFill>
                        <pic:spPr>
                          <a:xfrm>
                            <a:off x="0" y="0"/>
                            <a:ext cx="732822" cy="732822"/>
                          </a:xfrm>
                          <a:prstGeom prst="rect">
                            <a:avLst/>
                          </a:prstGeom>
                        </pic:spPr>
                      </pic:pic>
                    </a:graphicData>
                  </a:graphic>
                </wp:inline>
              </w:drawing>
            </w:r>
          </w:p>
        </w:tc>
        <w:tc>
          <w:tcPr>
            <w:tcW w:w="7707" w:type="dxa"/>
            <w:tcMar>
              <w:left w:w="0" w:type="dxa"/>
              <w:right w:w="0" w:type="dxa"/>
            </w:tcMar>
          </w:tcPr>
          <w:p w14:paraId="323BBDC7">
            <w:pPr>
              <w:widowControl/>
              <w:autoSpaceDE w:val="0"/>
              <w:autoSpaceDN w:val="0"/>
              <w:spacing w:before="62" w:line="402" w:lineRule="exact"/>
              <w:ind w:left="60"/>
              <w:jc w:val="left"/>
              <w:rPr>
                <w:rFonts w:hint="eastAsia" w:ascii="黑体" w:hAnsi="黑体" w:eastAsia="黑体" w:cs="黑体"/>
                <w:b/>
                <w:bCs/>
                <w:color w:val="000000"/>
                <w:spacing w:val="4"/>
                <w:sz w:val="36"/>
              </w:rPr>
            </w:pPr>
          </w:p>
          <w:p w14:paraId="2ABCCE56">
            <w:pPr>
              <w:widowControl/>
              <w:autoSpaceDE w:val="0"/>
              <w:autoSpaceDN w:val="0"/>
              <w:spacing w:before="62" w:line="402" w:lineRule="exact"/>
              <w:ind w:left="60"/>
              <w:jc w:val="left"/>
              <w:rPr>
                <w:rFonts w:hint="eastAsia" w:ascii="黑体" w:hAnsi="黑体" w:eastAsia="黑体" w:cs="黑体"/>
                <w:b/>
                <w:bCs/>
                <w:color w:val="000000"/>
                <w:sz w:val="36"/>
              </w:rPr>
            </w:pPr>
            <w:r>
              <w:rPr>
                <w:rFonts w:hint="eastAsia" w:ascii="黑体" w:hAnsi="黑体" w:eastAsia="黑体" w:cs="黑体"/>
                <w:b/>
                <w:bCs/>
                <w:color w:val="000000"/>
                <w:spacing w:val="4"/>
                <w:sz w:val="36"/>
              </w:rPr>
              <w:t>火炬高新区“湾区光谷”光电设计专项赛参</w:t>
            </w:r>
            <w:r>
              <w:rPr>
                <w:rFonts w:hint="eastAsia" w:ascii="黑体" w:hAnsi="黑体" w:eastAsia="黑体" w:cs="黑体"/>
                <w:b/>
                <w:bCs/>
                <w:color w:val="000000"/>
                <w:sz w:val="36"/>
              </w:rPr>
              <w:t>赛</w:t>
            </w:r>
          </w:p>
        </w:tc>
      </w:tr>
    </w:tbl>
    <w:p w14:paraId="6C86F277">
      <w:pPr>
        <w:widowControl/>
        <w:autoSpaceDE w:val="0"/>
        <w:autoSpaceDN w:val="0"/>
        <w:spacing w:before="606" w:line="220" w:lineRule="exact"/>
      </w:pPr>
    </w:p>
    <w:p w14:paraId="05C16436">
      <w:pPr>
        <w:widowControl/>
        <w:autoSpaceDE w:val="0"/>
        <w:autoSpaceDN w:val="0"/>
        <w:spacing w:before="160" w:line="360" w:lineRule="exact"/>
        <w:jc w:val="center"/>
      </w:pPr>
      <w:r>
        <w:rPr>
          <w:rFonts w:ascii="2MwdRBNh+SimHei" w:hAnsi="2MwdRBNh+SimHei" w:eastAsia="2MwdRBNh+SimHei"/>
          <w:b/>
          <w:color w:val="000000"/>
          <w:spacing w:val="2"/>
          <w:sz w:val="36"/>
        </w:rPr>
        <w:t>作</w:t>
      </w:r>
      <w:r>
        <w:rPr>
          <w:rFonts w:ascii="2MwdRBNh+SimHei" w:hAnsi="2MwdRBNh+SimHei" w:eastAsia="2MwdRBNh+SimHei"/>
          <w:b/>
          <w:color w:val="000000"/>
          <w:sz w:val="36"/>
        </w:rPr>
        <w:t>品</w:t>
      </w:r>
      <w:r>
        <w:rPr>
          <w:rFonts w:ascii="2MwdRBNh+SimHei" w:hAnsi="2MwdRBNh+SimHei" w:eastAsia="2MwdRBNh+SimHei"/>
          <w:b/>
          <w:color w:val="000000"/>
          <w:spacing w:val="2"/>
          <w:sz w:val="36"/>
        </w:rPr>
        <w:t>填</w:t>
      </w:r>
      <w:r>
        <w:rPr>
          <w:rFonts w:ascii="2MwdRBNh+SimHei" w:hAnsi="2MwdRBNh+SimHei" w:eastAsia="2MwdRBNh+SimHei"/>
          <w:b/>
          <w:color w:val="000000"/>
          <w:sz w:val="36"/>
        </w:rPr>
        <w:t>报</w:t>
      </w:r>
      <w:r>
        <w:rPr>
          <w:rFonts w:ascii="2MwdRBNh+SimHei" w:hAnsi="2MwdRBNh+SimHei" w:eastAsia="2MwdRBNh+SimHei"/>
          <w:b/>
          <w:color w:val="000000"/>
          <w:spacing w:val="2"/>
          <w:sz w:val="36"/>
        </w:rPr>
        <w:t>信息</w:t>
      </w:r>
      <w:r>
        <w:rPr>
          <w:rFonts w:ascii="2MwdRBNh+SimHei" w:hAnsi="2MwdRBNh+SimHei" w:eastAsia="2MwdRBNh+SimHei"/>
          <w:b/>
          <w:color w:val="000000"/>
          <w:sz w:val="36"/>
        </w:rPr>
        <w:t>清单</w:t>
      </w:r>
    </w:p>
    <w:p w14:paraId="005CF280">
      <w:pPr>
        <w:widowControl/>
        <w:numPr>
          <w:ilvl w:val="0"/>
          <w:numId w:val="1"/>
        </w:numPr>
        <w:autoSpaceDE w:val="0"/>
        <w:autoSpaceDN w:val="0"/>
        <w:spacing w:before="474" w:line="360" w:lineRule="auto"/>
        <w:ind w:left="0"/>
        <w:jc w:val="left"/>
        <w:rPr>
          <w:rFonts w:ascii="宋体" w:hAnsi="宋体" w:eastAsia="宋体" w:cs="宋体"/>
          <w:color w:val="000000" w:themeColor="text1"/>
          <w:sz w:val="28"/>
          <w:szCs w:val="28"/>
        </w:rPr>
      </w:pPr>
      <w:r>
        <w:rPr>
          <w:rFonts w:hint="eastAsia" w:ascii="宋体" w:hAnsi="宋体" w:eastAsia="宋体" w:cs="宋体"/>
          <w:b/>
          <w:color w:val="000000"/>
          <w:spacing w:val="2"/>
          <w:sz w:val="32"/>
          <w:szCs w:val="32"/>
        </w:rPr>
        <w:t>初评材</w:t>
      </w:r>
      <w:r>
        <w:rPr>
          <w:rFonts w:hint="eastAsia" w:ascii="宋体" w:hAnsi="宋体" w:eastAsia="宋体" w:cs="宋体"/>
          <w:b/>
          <w:color w:val="000000"/>
          <w:sz w:val="32"/>
          <w:szCs w:val="32"/>
        </w:rPr>
        <w:t>料</w:t>
      </w:r>
    </w:p>
    <w:p w14:paraId="7A3CE748">
      <w:pPr>
        <w:numPr>
          <w:ilvl w:val="0"/>
          <w:numId w:val="2"/>
        </w:numPr>
        <w:spacing w:line="360" w:lineRule="auto"/>
        <w:ind w:firstLine="720"/>
        <w:rPr>
          <w:rFonts w:hint="eastAsia" w:ascii="仿宋" w:hAnsi="仿宋" w:eastAsia="仿宋" w:cs="仿宋"/>
          <w:sz w:val="28"/>
          <w:szCs w:val="28"/>
        </w:rPr>
      </w:pPr>
      <w:r>
        <w:rPr>
          <w:rFonts w:hint="eastAsia" w:ascii="仿宋" w:hAnsi="仿宋" w:eastAsia="仿宋" w:cs="仿宋"/>
          <w:sz w:val="28"/>
          <w:szCs w:val="28"/>
          <w:lang w:val="en-US" w:eastAsia="zh-CN"/>
        </w:rPr>
        <w:t>信息</w:t>
      </w:r>
      <w:r>
        <w:rPr>
          <w:rFonts w:hint="eastAsia" w:ascii="仿宋" w:hAnsi="仿宋" w:eastAsia="仿宋" w:cs="仿宋"/>
          <w:sz w:val="28"/>
          <w:szCs w:val="28"/>
        </w:rPr>
        <w:t>表：登录中山市工业设计大赛官网填写报名信息及作品资料并完整填写。</w:t>
      </w:r>
      <w:bookmarkStart w:id="0" w:name="_GoBack"/>
      <w:bookmarkEnd w:id="0"/>
    </w:p>
    <w:p w14:paraId="4797EC57">
      <w:pPr>
        <w:spacing w:line="360" w:lineRule="auto"/>
        <w:ind w:firstLine="720"/>
        <w:rPr>
          <w:sz w:val="28"/>
          <w:szCs w:val="28"/>
        </w:rPr>
      </w:pPr>
      <w:r>
        <w:rPr>
          <w:rFonts w:hint="eastAsia" w:ascii="仿宋" w:hAnsi="仿宋" w:eastAsia="仿宋" w:cs="仿宋"/>
          <w:sz w:val="28"/>
          <w:szCs w:val="28"/>
        </w:rPr>
        <w:t>2、承诺书：在官网下载“火炬高新区“湾区光谷”光电设计专项赛参赛—承诺书”，本人签字或公司盖章后上传至官网，若联合投递，则需多方共同签字或盖章；</w:t>
      </w:r>
    </w:p>
    <w:p w14:paraId="504F6CDF">
      <w:pPr>
        <w:spacing w:line="360" w:lineRule="auto"/>
        <w:ind w:firstLine="720"/>
        <w:rPr>
          <w:rFonts w:ascii="仿宋" w:hAnsi="仿宋" w:eastAsia="仿宋" w:cs="仿宋"/>
          <w:sz w:val="28"/>
          <w:szCs w:val="28"/>
        </w:rPr>
      </w:pPr>
      <w:r>
        <w:rPr>
          <w:rFonts w:hint="eastAsia" w:ascii="仿宋" w:hAnsi="仿宋" w:eastAsia="仿宋" w:cs="仿宋"/>
          <w:sz w:val="28"/>
          <w:szCs w:val="28"/>
        </w:rPr>
        <w:t>3、作品视频（非必须）：提供能详细展示产品设计细节和使用方式的视频（3分钟以内，MP4格式，20M以内）。</w:t>
      </w:r>
    </w:p>
    <w:p w14:paraId="4128D3E0">
      <w:pPr>
        <w:spacing w:line="360" w:lineRule="auto"/>
        <w:ind w:firstLine="720"/>
        <w:rPr>
          <w:rFonts w:ascii="仿宋" w:hAnsi="仿宋" w:eastAsia="仿宋" w:cs="仿宋"/>
          <w:sz w:val="28"/>
          <w:szCs w:val="28"/>
        </w:rPr>
      </w:pPr>
      <w:r>
        <w:rPr>
          <w:rFonts w:hint="eastAsia" w:ascii="仿宋" w:hAnsi="仿宋" w:eastAsia="仿宋" w:cs="仿宋"/>
          <w:sz w:val="28"/>
          <w:szCs w:val="28"/>
        </w:rPr>
        <w:t>4、演示文稿（非必须）：8页以内的PPT和PDF（PPT以16:9的比例）。</w:t>
      </w:r>
    </w:p>
    <w:p w14:paraId="33A925BF">
      <w:pPr>
        <w:spacing w:line="360" w:lineRule="auto"/>
        <w:ind w:firstLine="560" w:firstLineChars="20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注：为保证大赛的公平公正，参赛作品的任何部分均不得包含可识别作者身份的信息。这包括但不限于作者所属单位、姓名（含英文或拼音缩写）、个人标识、图标或其他相关提示。违反此规定的作品将被视为无效，并取消参赛资格。</w:t>
      </w:r>
    </w:p>
    <w:p w14:paraId="79A9EC2B">
      <w:pPr>
        <w:numPr>
          <w:ilvl w:val="0"/>
          <w:numId w:val="3"/>
        </w:numPr>
        <w:spacing w:line="360" w:lineRule="auto"/>
        <w:ind w:firstLine="72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提供作品知识产权归属材料（如有）。</w:t>
      </w:r>
    </w:p>
    <w:p w14:paraId="6AE9C96A">
      <w:pPr>
        <w:numPr>
          <w:ilvl w:val="0"/>
          <w:numId w:val="3"/>
        </w:numPr>
        <w:spacing w:line="360" w:lineRule="auto"/>
        <w:ind w:firstLine="72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参赛者需登录大赛官方网站http://zs-id.zsnews.cn/（或关注中山市光电产业协会微信公众号），注册账号进入系统填写报名信息及作品资料，所有报名信息以线上为准。</w:t>
      </w:r>
    </w:p>
    <w:p w14:paraId="28AB151D">
      <w:pPr>
        <w:widowControl/>
        <w:autoSpaceDE w:val="0"/>
        <w:autoSpaceDN w:val="0"/>
        <w:spacing w:before="480" w:line="360" w:lineRule="auto"/>
        <w:ind w:left="360"/>
        <w:jc w:val="left"/>
        <w:rPr>
          <w:rFonts w:ascii="仿宋" w:hAnsi="仿宋" w:eastAsia="仿宋" w:cs="仿宋"/>
          <w:sz w:val="28"/>
          <w:szCs w:val="28"/>
        </w:rPr>
      </w:pPr>
      <w:r>
        <w:rPr>
          <w:rFonts w:hint="eastAsia" w:ascii="仿宋" w:hAnsi="仿宋" w:eastAsia="仿宋" w:cs="仿宋"/>
          <w:b/>
          <w:color w:val="000000"/>
          <w:spacing w:val="4"/>
          <w:sz w:val="28"/>
          <w:szCs w:val="28"/>
        </w:rPr>
        <w:t>三</w:t>
      </w:r>
      <w:r>
        <w:rPr>
          <w:rFonts w:hint="eastAsia" w:ascii="仿宋" w:hAnsi="仿宋" w:eastAsia="仿宋" w:cs="仿宋"/>
          <w:b/>
          <w:color w:val="000000"/>
          <w:sz w:val="28"/>
          <w:szCs w:val="28"/>
        </w:rPr>
        <w:t>、</w:t>
      </w:r>
      <w:r>
        <w:rPr>
          <w:rFonts w:hint="eastAsia" w:ascii="仿宋" w:hAnsi="仿宋" w:eastAsia="仿宋" w:cs="仿宋"/>
          <w:b/>
          <w:color w:val="000000"/>
          <w:spacing w:val="2"/>
          <w:sz w:val="28"/>
          <w:szCs w:val="28"/>
        </w:rPr>
        <w:t>终评</w:t>
      </w:r>
      <w:r>
        <w:rPr>
          <w:rFonts w:hint="eastAsia" w:ascii="仿宋" w:hAnsi="仿宋" w:eastAsia="仿宋" w:cs="仿宋"/>
          <w:b/>
          <w:color w:val="000000"/>
          <w:spacing w:val="4"/>
          <w:sz w:val="28"/>
          <w:szCs w:val="28"/>
        </w:rPr>
        <w:t>材</w:t>
      </w:r>
      <w:r>
        <w:rPr>
          <w:rFonts w:hint="eastAsia" w:ascii="仿宋" w:hAnsi="仿宋" w:eastAsia="仿宋" w:cs="仿宋"/>
          <w:b/>
          <w:color w:val="000000"/>
          <w:sz w:val="28"/>
          <w:szCs w:val="28"/>
        </w:rPr>
        <w:t>料</w:t>
      </w:r>
    </w:p>
    <w:p w14:paraId="68017A8A">
      <w:pPr>
        <w:spacing w:line="360" w:lineRule="auto"/>
        <w:ind w:firstLine="720"/>
        <w:rPr>
          <w:rFonts w:ascii="仿宋" w:hAnsi="仿宋" w:eastAsia="仿宋" w:cs="仿宋"/>
          <w:sz w:val="28"/>
          <w:szCs w:val="28"/>
        </w:rPr>
      </w:pPr>
      <w:r>
        <w:rPr>
          <w:rFonts w:hint="eastAsia" w:ascii="仿宋" w:hAnsi="仿宋" w:eastAsia="仿宋" w:cs="仿宋"/>
          <w:sz w:val="28"/>
          <w:szCs w:val="28"/>
        </w:rPr>
        <w:t>1、参赛者在作品入围终评后，需要根据组委会的指示，将作品的实物或模型寄送至组委会指定的评审地点，若未按要求准时寄达，将视为放弃资格。</w:t>
      </w:r>
    </w:p>
    <w:p w14:paraId="796C8D1A">
      <w:pPr>
        <w:spacing w:line="360" w:lineRule="auto"/>
        <w:ind w:firstLine="720"/>
        <w:rPr>
          <w:rFonts w:ascii="仿宋" w:hAnsi="仿宋" w:eastAsia="仿宋" w:cs="仿宋"/>
          <w:sz w:val="28"/>
          <w:szCs w:val="28"/>
        </w:rPr>
      </w:pPr>
      <w:r>
        <w:rPr>
          <w:rFonts w:hint="eastAsia" w:ascii="仿宋" w:hAnsi="仿宋" w:eastAsia="仿宋" w:cs="仿宋"/>
          <w:sz w:val="28"/>
          <w:szCs w:val="28"/>
        </w:rPr>
        <w:t>2、产品设计组必须提交实物或等比例可完整体验核心功能的样机或模型。</w:t>
      </w:r>
    </w:p>
    <w:p w14:paraId="3B5A5F5D">
      <w:pPr>
        <w:spacing w:line="360" w:lineRule="auto"/>
        <w:ind w:firstLine="720"/>
        <w:rPr>
          <w:rFonts w:ascii="仿宋" w:hAnsi="仿宋" w:eastAsia="仿宋" w:cs="仿宋"/>
          <w:sz w:val="28"/>
          <w:szCs w:val="28"/>
        </w:rPr>
      </w:pPr>
      <w:r>
        <w:rPr>
          <w:rFonts w:hint="eastAsia" w:ascii="仿宋" w:hAnsi="仿宋" w:eastAsia="仿宋" w:cs="仿宋"/>
          <w:sz w:val="28"/>
          <w:szCs w:val="28"/>
        </w:rPr>
        <w:t>3、鼓励概念设计组提供可完整展示的样机或数字化模型。</w:t>
      </w:r>
    </w:p>
    <w:p w14:paraId="231A594E">
      <w:pPr>
        <w:spacing w:line="360" w:lineRule="auto"/>
        <w:ind w:firstLine="720"/>
        <w:rPr>
          <w:rFonts w:ascii="仿宋" w:hAnsi="仿宋" w:eastAsia="仿宋" w:cs="仿宋"/>
          <w:sz w:val="28"/>
          <w:szCs w:val="28"/>
        </w:rPr>
      </w:pPr>
      <w:r>
        <w:rPr>
          <w:rFonts w:hint="eastAsia" w:ascii="仿宋" w:hAnsi="仿宋" w:eastAsia="仿宋" w:cs="仿宋"/>
          <w:sz w:val="28"/>
          <w:szCs w:val="28"/>
        </w:rPr>
        <w:t>作品征集截稿时间为</w:t>
      </w:r>
      <w:r>
        <w:rPr>
          <w:rFonts w:hint="eastAsia" w:ascii="仿宋" w:hAnsi="仿宋" w:eastAsia="仿宋" w:cs="仿宋"/>
          <w:color w:val="C00000"/>
          <w:sz w:val="28"/>
          <w:szCs w:val="28"/>
        </w:rPr>
        <w:t>202</w:t>
      </w:r>
      <w:r>
        <w:rPr>
          <w:rFonts w:hint="eastAsia" w:ascii="仿宋" w:hAnsi="仿宋" w:eastAsia="仿宋" w:cs="仿宋"/>
          <w:color w:val="C00000"/>
          <w:sz w:val="28"/>
          <w:szCs w:val="28"/>
          <w:lang w:val="en-US" w:eastAsia="zh-CN"/>
        </w:rPr>
        <w:t>5</w:t>
      </w:r>
      <w:r>
        <w:rPr>
          <w:rFonts w:hint="eastAsia" w:ascii="仿宋" w:hAnsi="仿宋" w:eastAsia="仿宋" w:cs="仿宋"/>
          <w:color w:val="C00000"/>
          <w:sz w:val="28"/>
          <w:szCs w:val="28"/>
        </w:rPr>
        <w:t>年</w:t>
      </w:r>
      <w:r>
        <w:rPr>
          <w:rFonts w:hint="eastAsia" w:ascii="仿宋" w:hAnsi="仿宋" w:eastAsia="仿宋" w:cs="仿宋"/>
          <w:color w:val="C00000"/>
          <w:sz w:val="28"/>
          <w:szCs w:val="28"/>
          <w:lang w:val="en-US" w:eastAsia="zh-CN"/>
        </w:rPr>
        <w:t>10</w:t>
      </w:r>
      <w:r>
        <w:rPr>
          <w:rFonts w:hint="eastAsia" w:ascii="仿宋" w:hAnsi="仿宋" w:eastAsia="仿宋" w:cs="仿宋"/>
          <w:color w:val="C00000"/>
          <w:sz w:val="28"/>
          <w:szCs w:val="28"/>
        </w:rPr>
        <w:t>月30日</w:t>
      </w:r>
      <w:r>
        <w:rPr>
          <w:rFonts w:hint="eastAsia" w:ascii="仿宋" w:hAnsi="仿宋" w:eastAsia="仿宋" w:cs="仿宋"/>
          <w:sz w:val="28"/>
          <w:szCs w:val="28"/>
        </w:rPr>
        <w:t>。</w:t>
      </w:r>
    </w:p>
    <w:p w14:paraId="1621A15C">
      <w:pPr>
        <w:spacing w:line="360" w:lineRule="auto"/>
        <w:ind w:firstLine="720"/>
        <w:rPr>
          <w:rFonts w:ascii="仿宋" w:hAnsi="仿宋" w:eastAsia="仿宋" w:cs="仿宋"/>
          <w:color w:val="000000" w:themeColor="text1"/>
          <w:sz w:val="28"/>
          <w:szCs w:val="28"/>
        </w:rPr>
      </w:pPr>
      <w:r>
        <w:rPr>
          <w:rFonts w:hint="eastAsia" w:ascii="仿宋" w:hAnsi="仿宋" w:eastAsia="仿宋" w:cs="仿宋"/>
          <w:sz w:val="28"/>
          <w:szCs w:val="28"/>
        </w:rPr>
        <w:t>4、</w:t>
      </w:r>
      <w:r>
        <w:rPr>
          <w:rFonts w:hint="eastAsia" w:ascii="仿宋" w:hAnsi="仿宋" w:eastAsia="仿宋" w:cs="仿宋"/>
          <w:color w:val="000000" w:themeColor="text1"/>
          <w:sz w:val="28"/>
          <w:szCs w:val="28"/>
        </w:rPr>
        <w:t>参赛咨询</w:t>
      </w:r>
    </w:p>
    <w:p w14:paraId="0ECC22EF">
      <w:pPr>
        <w:spacing w:line="360" w:lineRule="auto"/>
        <w:ind w:firstLine="72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联系人：吴小姐、阮先生</w:t>
      </w:r>
    </w:p>
    <w:p w14:paraId="5D5E37F1">
      <w:pPr>
        <w:spacing w:line="360" w:lineRule="auto"/>
        <w:ind w:firstLine="72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联系电话：15918207859、19129151509</w:t>
      </w:r>
    </w:p>
    <w:p w14:paraId="21DE80A8">
      <w:pPr>
        <w:spacing w:line="360" w:lineRule="auto"/>
        <w:ind w:firstLine="720"/>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邮箱：</w:t>
      </w:r>
      <w:r>
        <w:fldChar w:fldCharType="begin"/>
      </w:r>
      <w:r>
        <w:instrText xml:space="preserve"> HYPERLINK "mailto:1326330128@qq.com" </w:instrText>
      </w:r>
      <w:r>
        <w:fldChar w:fldCharType="separate"/>
      </w:r>
      <w:r>
        <w:rPr>
          <w:rStyle w:val="7"/>
          <w:rFonts w:hint="eastAsia" w:ascii="仿宋" w:hAnsi="仿宋" w:eastAsia="仿宋" w:cs="仿宋"/>
          <w:sz w:val="28"/>
          <w:szCs w:val="28"/>
        </w:rPr>
        <w:t>1326330128@qq.com</w:t>
      </w:r>
      <w:r>
        <w:rPr>
          <w:rStyle w:val="7"/>
          <w:rFonts w:hint="eastAsia" w:ascii="仿宋" w:hAnsi="仿宋" w:eastAsia="仿宋" w:cs="仿宋"/>
          <w:sz w:val="28"/>
          <w:szCs w:val="28"/>
        </w:rPr>
        <w:fldChar w:fldCharType="end"/>
      </w:r>
    </w:p>
    <w:p w14:paraId="67A938D7">
      <w:pPr>
        <w:spacing w:line="360" w:lineRule="auto"/>
        <w:rPr>
          <w:rFonts w:ascii="仿宋" w:hAnsi="仿宋" w:eastAsia="仿宋" w:cs="仿宋"/>
          <w:sz w:val="28"/>
          <w:szCs w:val="28"/>
        </w:rPr>
      </w:pPr>
      <w:r>
        <w:rPr>
          <w:rFonts w:hint="eastAsia" w:ascii="仿宋" w:hAnsi="仿宋" w:eastAsia="仿宋" w:cs="仿宋"/>
          <w:sz w:val="28"/>
          <w:szCs w:val="28"/>
        </w:rPr>
        <w:t> 以上为基础材料，如有变化，以官方最新通知为准。</w:t>
      </w:r>
    </w:p>
    <w:p w14:paraId="5FC9DBFC">
      <w:pPr>
        <w:spacing w:line="360" w:lineRule="auto"/>
        <w:rPr>
          <w:rFonts w:ascii="仿宋" w:hAnsi="仿宋" w:eastAsia="仿宋" w:cs="仿宋"/>
          <w:sz w:val="28"/>
          <w:szCs w:val="28"/>
        </w:rPr>
      </w:pPr>
    </w:p>
    <w:sectPr>
      <w:pgSz w:w="11906" w:h="16838"/>
      <w:pgMar w:top="806" w:right="1440" w:bottom="1440" w:left="1440" w:header="720" w:footer="720" w:gutter="0"/>
      <w:cols w:equalWidth="0" w:num="1">
        <w:col w:w="9026"/>
      </w:cols>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2MwdRBNh+SimHei">
    <w:altName w:val="AMGDT"/>
    <w:panose1 w:val="00000000000000000000"/>
    <w:charset w:val="00"/>
    <w:family w:val="auto"/>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6D835C"/>
    <w:multiLevelType w:val="singleLevel"/>
    <w:tmpl w:val="AA6D835C"/>
    <w:lvl w:ilvl="0" w:tentative="0">
      <w:start w:val="1"/>
      <w:numFmt w:val="chineseCounting"/>
      <w:suff w:val="nothing"/>
      <w:lvlText w:val="%1、"/>
      <w:lvlJc w:val="left"/>
      <w:pPr>
        <w:ind w:left="-360"/>
      </w:pPr>
      <w:rPr>
        <w:rFonts w:hint="eastAsia"/>
      </w:rPr>
    </w:lvl>
  </w:abstractNum>
  <w:abstractNum w:abstractNumId="1">
    <w:nsid w:val="F72B89D9"/>
    <w:multiLevelType w:val="singleLevel"/>
    <w:tmpl w:val="F72B89D9"/>
    <w:lvl w:ilvl="0" w:tentative="0">
      <w:start w:val="5"/>
      <w:numFmt w:val="decimal"/>
      <w:suff w:val="nothing"/>
      <w:lvlText w:val="%1、"/>
      <w:lvlJc w:val="left"/>
    </w:lvl>
  </w:abstractNum>
  <w:abstractNum w:abstractNumId="2">
    <w:nsid w:val="27366593"/>
    <w:multiLevelType w:val="singleLevel"/>
    <w:tmpl w:val="27366593"/>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YzFmZTdjN2E1ODlmYzg5ODFmOThmMDcwNmRiMjgxNjcifQ=="/>
  </w:docVars>
  <w:rsids>
    <w:rsidRoot w:val="00B47730"/>
    <w:rsid w:val="00034616"/>
    <w:rsid w:val="0006063C"/>
    <w:rsid w:val="0015074B"/>
    <w:rsid w:val="0018628A"/>
    <w:rsid w:val="0029639D"/>
    <w:rsid w:val="00326F90"/>
    <w:rsid w:val="00AA1D8D"/>
    <w:rsid w:val="00B47730"/>
    <w:rsid w:val="00CB0664"/>
    <w:rsid w:val="00DD0AFB"/>
    <w:rsid w:val="00E65C90"/>
    <w:rsid w:val="00FC693F"/>
    <w:rsid w:val="29D46E34"/>
    <w:rsid w:val="2A087FBD"/>
    <w:rsid w:val="32F1559D"/>
    <w:rsid w:val="54CE1244"/>
    <w:rsid w:val="65152CA4"/>
    <w:rsid w:val="6CE10C19"/>
    <w:rsid w:val="75850739"/>
    <w:rsid w:val="75AA277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批注框文本 Char"/>
    <w:basedOn w:val="6"/>
    <w:link w:val="2"/>
    <w:semiHidden/>
    <w:qFormat/>
    <w:uiPriority w:val="99"/>
    <w:rPr>
      <w:kern w:val="2"/>
      <w:sz w:val="18"/>
      <w:szCs w:val="18"/>
    </w:rPr>
  </w:style>
  <w:style w:type="character" w:customStyle="1" w:styleId="9">
    <w:name w:val="页眉 Char"/>
    <w:basedOn w:val="6"/>
    <w:link w:val="4"/>
    <w:semiHidden/>
    <w:qFormat/>
    <w:uiPriority w:val="99"/>
    <w:rPr>
      <w:kern w:val="2"/>
      <w:sz w:val="18"/>
      <w:szCs w:val="18"/>
    </w:rPr>
  </w:style>
  <w:style w:type="character" w:customStyle="1" w:styleId="10">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601</Words>
  <Characters>680</Characters>
  <Lines>5</Lines>
  <Paragraphs>1</Paragraphs>
  <TotalTime>2</TotalTime>
  <ScaleCrop>false</ScaleCrop>
  <LinksUpToDate>false</LinksUpToDate>
  <CharactersWithSpaces>681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WPS_1716891266</cp:lastModifiedBy>
  <dcterms:modified xsi:type="dcterms:W3CDTF">2025-08-14T07:29:21Z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5F11E0E2D26341219627FE473E2E38E3_13</vt:lpwstr>
  </property>
  <property fmtid="{D5CDD505-2E9C-101B-9397-08002B2CF9AE}" pid="4" name="KSOTemplateDocerSaveRecord">
    <vt:lpwstr>eyJoZGlkIjoiYzFmZTdjN2E1ODlmYzg5ODFmOThmMDcwNmRiMjgxNjciLCJ1c2VySWQiOiIxNjAzNDA2MDIzIn0=</vt:lpwstr>
  </property>
</Properties>
</file>